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70" w:rsidRDefault="0047775C" w:rsidP="0047775C">
      <w:pPr>
        <w:jc w:val="center"/>
      </w:pPr>
      <w:r w:rsidRPr="0047775C">
        <w:rPr>
          <w:noProof/>
        </w:rPr>
        <w:drawing>
          <wp:inline distT="0" distB="0" distL="0" distR="0">
            <wp:extent cx="3111500" cy="66989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66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5C" w:rsidRDefault="0047775C" w:rsidP="0047775C">
      <w:pPr>
        <w:pBdr>
          <w:bottom w:val="single" w:sz="6" w:space="1" w:color="auto"/>
        </w:pBdr>
        <w:jc w:val="center"/>
        <w:rPr>
          <w:b/>
          <w:sz w:val="36"/>
        </w:rPr>
      </w:pPr>
      <w:r w:rsidRPr="0047775C">
        <w:rPr>
          <w:b/>
          <w:sz w:val="36"/>
        </w:rPr>
        <w:t xml:space="preserve">Media Release </w:t>
      </w:r>
    </w:p>
    <w:p w:rsidR="00070942" w:rsidRPr="0046226F" w:rsidRDefault="008C4611" w:rsidP="0047775C">
      <w:pPr>
        <w:pBdr>
          <w:bottom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17</w:t>
      </w:r>
      <w:r w:rsidRPr="008C461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November</w:t>
      </w:r>
      <w:r w:rsidR="0046226F" w:rsidRPr="0046226F">
        <w:rPr>
          <w:b/>
          <w:sz w:val="28"/>
        </w:rPr>
        <w:t xml:space="preserve"> 2016</w:t>
      </w:r>
    </w:p>
    <w:p w:rsidR="0046226F" w:rsidRDefault="0046226F" w:rsidP="0046226F">
      <w:pPr>
        <w:pStyle w:val="NoSpacing"/>
        <w:rPr>
          <w:b/>
          <w:sz w:val="28"/>
          <w:szCs w:val="24"/>
        </w:rPr>
      </w:pPr>
    </w:p>
    <w:p w:rsidR="008C4611" w:rsidRPr="008C4611" w:rsidRDefault="008C4611" w:rsidP="008C4611">
      <w:pPr>
        <w:spacing w:line="360" w:lineRule="auto"/>
        <w:jc w:val="both"/>
        <w:rPr>
          <w:b/>
          <w:color w:val="000000"/>
          <w:sz w:val="28"/>
        </w:rPr>
      </w:pPr>
      <w:r w:rsidRPr="008C4611">
        <w:rPr>
          <w:b/>
          <w:color w:val="000000"/>
          <w:sz w:val="28"/>
        </w:rPr>
        <w:t xml:space="preserve">SEC gives more options for Companies to comply with the Rules on Minimum Public Float  </w:t>
      </w:r>
    </w:p>
    <w:p w:rsidR="008C4611" w:rsidRPr="00F7696D" w:rsidRDefault="008C4611" w:rsidP="008C4611">
      <w:pPr>
        <w:spacing w:line="360" w:lineRule="auto"/>
        <w:jc w:val="both"/>
        <w:rPr>
          <w:color w:val="000000"/>
        </w:rPr>
      </w:pPr>
      <w:r w:rsidRPr="00F7696D">
        <w:rPr>
          <w:color w:val="000000"/>
        </w:rPr>
        <w:t xml:space="preserve">A Minimum Public Float is generally prescribed </w:t>
      </w:r>
      <w:r>
        <w:rPr>
          <w:color w:val="000000"/>
        </w:rPr>
        <w:t>for the purpose of increasing</w:t>
      </w:r>
      <w:r w:rsidRPr="00F7696D">
        <w:rPr>
          <w:color w:val="000000"/>
        </w:rPr>
        <w:t xml:space="preserve"> capital market liquidity and</w:t>
      </w:r>
      <w:r>
        <w:rPr>
          <w:color w:val="000000"/>
        </w:rPr>
        <w:t xml:space="preserve"> to ensure</w:t>
      </w:r>
      <w:r w:rsidRPr="00F7696D">
        <w:rPr>
          <w:color w:val="000000"/>
        </w:rPr>
        <w:t xml:space="preserve"> that the general public gets an opportunity to</w:t>
      </w:r>
      <w:r>
        <w:rPr>
          <w:color w:val="000000"/>
        </w:rPr>
        <w:t xml:space="preserve"> invest in Listed Companies and </w:t>
      </w:r>
      <w:r w:rsidRPr="00F7696D">
        <w:rPr>
          <w:color w:val="000000"/>
        </w:rPr>
        <w:t xml:space="preserve">share in the wealth produced by </w:t>
      </w:r>
      <w:r>
        <w:rPr>
          <w:color w:val="000000"/>
        </w:rPr>
        <w:t>such</w:t>
      </w:r>
      <w:r w:rsidRPr="00F7696D">
        <w:rPr>
          <w:color w:val="000000"/>
        </w:rPr>
        <w:t xml:space="preserve"> entities. Furthermore, </w:t>
      </w:r>
      <w:r>
        <w:rPr>
          <w:color w:val="000000"/>
        </w:rPr>
        <w:t>it has been observed</w:t>
      </w:r>
      <w:r w:rsidRPr="00F7696D">
        <w:rPr>
          <w:color w:val="000000"/>
        </w:rPr>
        <w:t xml:space="preserve"> that greater</w:t>
      </w:r>
      <w:r>
        <w:rPr>
          <w:color w:val="000000"/>
        </w:rPr>
        <w:t xml:space="preserve"> and more divested</w:t>
      </w:r>
      <w:r w:rsidRPr="00F7696D">
        <w:rPr>
          <w:color w:val="000000"/>
        </w:rPr>
        <w:t xml:space="preserve"> the public holding less</w:t>
      </w:r>
      <w:r>
        <w:rPr>
          <w:color w:val="000000"/>
        </w:rPr>
        <w:t>er</w:t>
      </w:r>
      <w:r w:rsidRPr="00F7696D">
        <w:rPr>
          <w:color w:val="000000"/>
        </w:rPr>
        <w:t xml:space="preserve"> </w:t>
      </w:r>
      <w:r>
        <w:rPr>
          <w:color w:val="000000"/>
        </w:rPr>
        <w:t xml:space="preserve">is </w:t>
      </w:r>
      <w:r w:rsidRPr="00F7696D">
        <w:rPr>
          <w:color w:val="000000"/>
        </w:rPr>
        <w:t>the potential for market abuse</w:t>
      </w:r>
      <w:r>
        <w:rPr>
          <w:color w:val="000000"/>
        </w:rPr>
        <w:t xml:space="preserve"> and greater will be the opportunity to attract investors to the market</w:t>
      </w:r>
      <w:r w:rsidRPr="00F7696D">
        <w:rPr>
          <w:color w:val="000000"/>
        </w:rPr>
        <w:t xml:space="preserve">. </w:t>
      </w:r>
    </w:p>
    <w:p w:rsidR="008C4611" w:rsidRDefault="008C4611" w:rsidP="008C4611">
      <w:pPr>
        <w:spacing w:line="360" w:lineRule="auto"/>
        <w:jc w:val="both"/>
        <w:rPr>
          <w:color w:val="000000"/>
        </w:rPr>
      </w:pPr>
      <w:r>
        <w:rPr>
          <w:color w:val="000000"/>
        </w:rPr>
        <w:t>In 2013, t</w:t>
      </w:r>
      <w:r w:rsidRPr="00F7696D">
        <w:rPr>
          <w:color w:val="000000"/>
        </w:rPr>
        <w:t xml:space="preserve">he Securities and Exchange Commission (SEC) subsequent to a number of public </w:t>
      </w:r>
      <w:proofErr w:type="gramStart"/>
      <w:r w:rsidRPr="00F7696D">
        <w:rPr>
          <w:color w:val="000000"/>
        </w:rPr>
        <w:t>consultations</w:t>
      </w:r>
      <w:r>
        <w:rPr>
          <w:color w:val="000000"/>
        </w:rPr>
        <w:t>,</w:t>
      </w:r>
      <w:proofErr w:type="gramEnd"/>
      <w:r w:rsidRPr="00F7696D">
        <w:rPr>
          <w:color w:val="000000"/>
        </w:rPr>
        <w:t xml:space="preserve"> directe</w:t>
      </w:r>
      <w:r>
        <w:rPr>
          <w:color w:val="000000"/>
        </w:rPr>
        <w:t>d</w:t>
      </w:r>
      <w:r w:rsidRPr="00F7696D">
        <w:rPr>
          <w:color w:val="000000"/>
        </w:rPr>
        <w:t xml:space="preserve"> all Listed Public Companies to comply with the Rules on Minimum Public Float</w:t>
      </w:r>
      <w:r>
        <w:rPr>
          <w:color w:val="000000"/>
        </w:rPr>
        <w:t xml:space="preserve"> on a continuous bas</w:t>
      </w:r>
      <w:r w:rsidRPr="00AD3CD3">
        <w:rPr>
          <w:color w:val="000000"/>
        </w:rPr>
        <w:t>i</w:t>
      </w:r>
      <w:r>
        <w:rPr>
          <w:color w:val="000000"/>
        </w:rPr>
        <w:t xml:space="preserve">s. Prior to this Directive, even though Listed Companies had to comply with Public Float requirements at the point of listing, there was no mandate for companies to continue maintaining a threshold Public Float requirement. This requirement to maintain a Minimum Public Float was introduced with a view to </w:t>
      </w:r>
      <w:r>
        <w:rPr>
          <w:rFonts w:cs="Tahoma"/>
          <w:bCs/>
          <w:color w:val="000000"/>
        </w:rPr>
        <w:t>improving the low liquidity levels prevalent in the market.</w:t>
      </w:r>
      <w:r>
        <w:rPr>
          <w:color w:val="000000"/>
        </w:rPr>
        <w:t xml:space="preserve"> </w:t>
      </w:r>
      <w:r w:rsidRPr="00F7696D">
        <w:rPr>
          <w:color w:val="000000"/>
        </w:rPr>
        <w:t xml:space="preserve">Listed </w:t>
      </w:r>
      <w:r>
        <w:rPr>
          <w:color w:val="000000"/>
        </w:rPr>
        <w:t>Companies</w:t>
      </w:r>
      <w:r w:rsidRPr="00F7696D">
        <w:rPr>
          <w:color w:val="000000"/>
        </w:rPr>
        <w:t xml:space="preserve"> were granted a period of 3 years to </w:t>
      </w:r>
      <w:r>
        <w:rPr>
          <w:color w:val="000000"/>
        </w:rPr>
        <w:t>comply</w:t>
      </w:r>
      <w:r w:rsidRPr="00F7696D">
        <w:rPr>
          <w:color w:val="000000"/>
        </w:rPr>
        <w:t xml:space="preserve"> with the </w:t>
      </w:r>
      <w:r>
        <w:rPr>
          <w:color w:val="000000"/>
        </w:rPr>
        <w:t>Minimum Public Float requirements specified</w:t>
      </w:r>
      <w:r w:rsidRPr="00F7696D">
        <w:rPr>
          <w:color w:val="000000"/>
        </w:rPr>
        <w:t xml:space="preserve"> </w:t>
      </w:r>
      <w:r>
        <w:rPr>
          <w:color w:val="000000"/>
        </w:rPr>
        <w:t>both</w:t>
      </w:r>
      <w:r w:rsidRPr="00F7696D">
        <w:rPr>
          <w:color w:val="000000"/>
        </w:rPr>
        <w:t xml:space="preserve"> </w:t>
      </w:r>
      <w:r>
        <w:rPr>
          <w:color w:val="000000"/>
        </w:rPr>
        <w:t>for the</w:t>
      </w:r>
      <w:r w:rsidRPr="00F7696D">
        <w:rPr>
          <w:color w:val="000000"/>
        </w:rPr>
        <w:t xml:space="preserve"> Main Board and </w:t>
      </w:r>
      <w:proofErr w:type="spellStart"/>
      <w:r w:rsidRPr="00F7696D">
        <w:rPr>
          <w:color w:val="000000"/>
        </w:rPr>
        <w:t>Diri</w:t>
      </w:r>
      <w:proofErr w:type="spellEnd"/>
      <w:r w:rsidRPr="00F7696D">
        <w:rPr>
          <w:color w:val="000000"/>
        </w:rPr>
        <w:t xml:space="preserve"> </w:t>
      </w:r>
      <w:proofErr w:type="spellStart"/>
      <w:r w:rsidRPr="00F7696D">
        <w:rPr>
          <w:color w:val="000000"/>
        </w:rPr>
        <w:t>Savi</w:t>
      </w:r>
      <w:proofErr w:type="spellEnd"/>
      <w:r w:rsidRPr="00F7696D">
        <w:rPr>
          <w:color w:val="000000"/>
        </w:rPr>
        <w:t xml:space="preserve"> Board. </w:t>
      </w:r>
    </w:p>
    <w:p w:rsidR="008C4611" w:rsidRDefault="008C4611" w:rsidP="008C461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Subsequent to a follow up workshop </w:t>
      </w:r>
      <w:proofErr w:type="spellStart"/>
      <w:r>
        <w:rPr>
          <w:color w:val="000000"/>
        </w:rPr>
        <w:t>organised</w:t>
      </w:r>
      <w:proofErr w:type="spellEnd"/>
      <w:r>
        <w:rPr>
          <w:color w:val="000000"/>
        </w:rPr>
        <w:t xml:space="preserve"> by the SEC to discuss issues faced by Listed Entities to meet the Public Float requirements on a continuing basis, </w:t>
      </w:r>
      <w:r w:rsidRPr="00F7696D">
        <w:rPr>
          <w:color w:val="000000"/>
        </w:rPr>
        <w:t>a review of the status of compliance</w:t>
      </w:r>
      <w:r>
        <w:rPr>
          <w:color w:val="000000"/>
        </w:rPr>
        <w:t xml:space="preserve"> was</w:t>
      </w:r>
      <w:r w:rsidRPr="00F7696D">
        <w:rPr>
          <w:color w:val="000000"/>
        </w:rPr>
        <w:t xml:space="preserve"> conducted by the</w:t>
      </w:r>
      <w:r>
        <w:rPr>
          <w:color w:val="000000"/>
        </w:rPr>
        <w:t xml:space="preserve"> Colombo Stock Exchange</w:t>
      </w:r>
      <w:r w:rsidRPr="00F7696D">
        <w:rPr>
          <w:color w:val="000000"/>
        </w:rPr>
        <w:t xml:space="preserve"> </w:t>
      </w:r>
      <w:r>
        <w:rPr>
          <w:color w:val="000000"/>
        </w:rPr>
        <w:t>(</w:t>
      </w:r>
      <w:r w:rsidRPr="00F7696D">
        <w:rPr>
          <w:color w:val="000000"/>
        </w:rPr>
        <w:t>CSE</w:t>
      </w:r>
      <w:r>
        <w:rPr>
          <w:color w:val="000000"/>
        </w:rPr>
        <w:t>). The study by the CSE found</w:t>
      </w:r>
      <w:r w:rsidRPr="00F7696D">
        <w:rPr>
          <w:color w:val="000000"/>
        </w:rPr>
        <w:t xml:space="preserve"> a high incidence of non-compliance among </w:t>
      </w:r>
      <w:r>
        <w:rPr>
          <w:color w:val="000000"/>
        </w:rPr>
        <w:t>L</w:t>
      </w:r>
      <w:r w:rsidRPr="00F7696D">
        <w:rPr>
          <w:color w:val="000000"/>
        </w:rPr>
        <w:t xml:space="preserve">isted </w:t>
      </w:r>
      <w:r>
        <w:rPr>
          <w:color w:val="000000"/>
        </w:rPr>
        <w:t>E</w:t>
      </w:r>
      <w:r w:rsidRPr="00F7696D">
        <w:rPr>
          <w:color w:val="000000"/>
        </w:rPr>
        <w:t xml:space="preserve">ntities. </w:t>
      </w:r>
      <w:r>
        <w:rPr>
          <w:color w:val="000000"/>
        </w:rPr>
        <w:t xml:space="preserve">The main reason for non compliance was attributed to the limited options afforded in the Rules for companies to comply with the Public Float requirements. </w:t>
      </w:r>
    </w:p>
    <w:p w:rsidR="008C4611" w:rsidRDefault="008C4611" w:rsidP="008C4611">
      <w:pPr>
        <w:spacing w:line="360" w:lineRule="auto"/>
        <w:jc w:val="both"/>
        <w:rPr>
          <w:rFonts w:cs="Tahoma"/>
          <w:bCs/>
          <w:color w:val="000000"/>
        </w:rPr>
      </w:pPr>
      <w:r>
        <w:rPr>
          <w:color w:val="000000"/>
        </w:rPr>
        <w:t xml:space="preserve">Taking the views of the market into consideration, </w:t>
      </w:r>
      <w:r w:rsidRPr="00F7696D">
        <w:rPr>
          <w:color w:val="000000"/>
        </w:rPr>
        <w:t xml:space="preserve">the SEC </w:t>
      </w:r>
      <w:r>
        <w:rPr>
          <w:color w:val="000000"/>
        </w:rPr>
        <w:t xml:space="preserve">in consultation with </w:t>
      </w:r>
      <w:r w:rsidRPr="00F7696D">
        <w:rPr>
          <w:color w:val="000000"/>
        </w:rPr>
        <w:t xml:space="preserve">the CSE decided to </w:t>
      </w:r>
      <w:r>
        <w:rPr>
          <w:color w:val="000000"/>
        </w:rPr>
        <w:t>review</w:t>
      </w:r>
      <w:r w:rsidRPr="00F7696D">
        <w:rPr>
          <w:color w:val="000000"/>
        </w:rPr>
        <w:t xml:space="preserve"> the Rules</w:t>
      </w:r>
      <w:r>
        <w:rPr>
          <w:color w:val="000000"/>
        </w:rPr>
        <w:t>.</w:t>
      </w:r>
      <w:r w:rsidRPr="00F7696D">
        <w:rPr>
          <w:color w:val="000000"/>
        </w:rPr>
        <w:t xml:space="preserve"> </w:t>
      </w:r>
      <w:r>
        <w:rPr>
          <w:color w:val="000000"/>
        </w:rPr>
        <w:t xml:space="preserve">Subsequent to such review the SEC decided to revise the Minimum Public Float </w:t>
      </w:r>
      <w:r>
        <w:rPr>
          <w:color w:val="000000"/>
        </w:rPr>
        <w:lastRenderedPageBreak/>
        <w:t>requirement</w:t>
      </w:r>
      <w:r w:rsidRPr="00AD3CD3">
        <w:rPr>
          <w:color w:val="000000"/>
        </w:rPr>
        <w:t>s</w:t>
      </w:r>
      <w:r>
        <w:rPr>
          <w:color w:val="000000"/>
        </w:rPr>
        <w:t xml:space="preserve"> </w:t>
      </w:r>
      <w:r w:rsidRPr="00F7696D">
        <w:rPr>
          <w:rFonts w:cs="Tahoma"/>
          <w:bCs/>
          <w:color w:val="000000"/>
        </w:rPr>
        <w:t xml:space="preserve">to provide Listed Public Companies with a wider range of options </w:t>
      </w:r>
      <w:r>
        <w:rPr>
          <w:rFonts w:cs="Tahoma"/>
          <w:bCs/>
          <w:color w:val="000000"/>
        </w:rPr>
        <w:t xml:space="preserve">to comply </w:t>
      </w:r>
      <w:r w:rsidRPr="00F7696D">
        <w:rPr>
          <w:rFonts w:cs="Tahoma"/>
          <w:bCs/>
          <w:color w:val="000000"/>
        </w:rPr>
        <w:t>with the Rules</w:t>
      </w:r>
      <w:r>
        <w:rPr>
          <w:rFonts w:cs="Tahoma"/>
          <w:bCs/>
          <w:color w:val="000000"/>
        </w:rPr>
        <w:t xml:space="preserve"> without compromising the objective of the Rule.</w:t>
      </w:r>
    </w:p>
    <w:p w:rsidR="008C4611" w:rsidRDefault="008C4611" w:rsidP="008C4611">
      <w:pPr>
        <w:spacing w:line="360" w:lineRule="auto"/>
        <w:jc w:val="both"/>
        <w:rPr>
          <w:rFonts w:cs="Tahoma"/>
        </w:rPr>
      </w:pPr>
      <w:r w:rsidRPr="00F7696D">
        <w:rPr>
          <w:color w:val="000000"/>
        </w:rPr>
        <w:t>Accordingly, t</w:t>
      </w:r>
      <w:r w:rsidRPr="00F7696D">
        <w:rPr>
          <w:rFonts w:cs="Tahoma"/>
          <w:bCs/>
          <w:color w:val="000000"/>
        </w:rPr>
        <w:t xml:space="preserve">he following revised </w:t>
      </w:r>
      <w:r>
        <w:rPr>
          <w:rFonts w:cs="Tahoma"/>
          <w:bCs/>
          <w:color w:val="000000"/>
        </w:rPr>
        <w:t>P</w:t>
      </w:r>
      <w:r w:rsidRPr="00F7696D">
        <w:rPr>
          <w:rFonts w:cs="Tahoma"/>
          <w:bCs/>
          <w:color w:val="000000"/>
        </w:rPr>
        <w:t xml:space="preserve">ublic </w:t>
      </w:r>
      <w:r>
        <w:rPr>
          <w:rFonts w:cs="Tahoma"/>
          <w:bCs/>
          <w:color w:val="000000"/>
        </w:rPr>
        <w:t>H</w:t>
      </w:r>
      <w:r w:rsidRPr="00F7696D">
        <w:rPr>
          <w:rFonts w:cs="Tahoma"/>
          <w:bCs/>
          <w:color w:val="000000"/>
        </w:rPr>
        <w:t xml:space="preserve">olding thresholds </w:t>
      </w:r>
      <w:r>
        <w:rPr>
          <w:rFonts w:cs="Tahoma"/>
          <w:bCs/>
          <w:color w:val="000000"/>
        </w:rPr>
        <w:t xml:space="preserve">were adopted and will </w:t>
      </w:r>
      <w:r w:rsidRPr="00F7696D">
        <w:rPr>
          <w:rFonts w:cs="Tahoma"/>
          <w:bCs/>
          <w:color w:val="000000"/>
        </w:rPr>
        <w:t>be effective from 1 January 2017</w:t>
      </w:r>
      <w:r>
        <w:rPr>
          <w:rFonts w:cs="Tahoma"/>
          <w:bCs/>
          <w:color w:val="000000"/>
        </w:rPr>
        <w:t>.</w:t>
      </w:r>
      <w:r w:rsidRPr="00F7696D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A</w:t>
      </w:r>
      <w:r w:rsidRPr="00F7696D">
        <w:rPr>
          <w:rFonts w:cs="Tahoma"/>
        </w:rPr>
        <w:t xml:space="preserve"> grace period of </w:t>
      </w:r>
      <w:r>
        <w:rPr>
          <w:rFonts w:cs="Tahoma"/>
        </w:rPr>
        <w:t>6</w:t>
      </w:r>
      <w:r w:rsidRPr="00F7696D">
        <w:rPr>
          <w:rFonts w:cs="Tahoma"/>
        </w:rPr>
        <w:t xml:space="preserve"> months extending up to 30 June 2017 will be granted for </w:t>
      </w:r>
      <w:r>
        <w:rPr>
          <w:rFonts w:cs="Tahoma"/>
        </w:rPr>
        <w:t>L</w:t>
      </w:r>
      <w:r w:rsidRPr="00F7696D">
        <w:rPr>
          <w:rFonts w:cs="Tahoma"/>
        </w:rPr>
        <w:t xml:space="preserve">isted </w:t>
      </w:r>
      <w:r>
        <w:rPr>
          <w:rFonts w:cs="Tahoma"/>
        </w:rPr>
        <w:t>Companies</w:t>
      </w:r>
      <w:r w:rsidRPr="00F7696D">
        <w:rPr>
          <w:rFonts w:cs="Tahoma"/>
        </w:rPr>
        <w:t xml:space="preserve"> to comply with any one of the revised thresholds</w:t>
      </w:r>
      <w:r>
        <w:rPr>
          <w:rFonts w:cs="Tahoma"/>
        </w:rPr>
        <w:t xml:space="preserve"> as detailed in the tables below</w:t>
      </w:r>
      <w:r w:rsidRPr="00F7696D">
        <w:rPr>
          <w:rFonts w:cs="Tahoma"/>
        </w:rPr>
        <w:t xml:space="preserve">. </w:t>
      </w:r>
    </w:p>
    <w:p w:rsidR="008C4611" w:rsidRDefault="008C4611" w:rsidP="008C4611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Further, the revised minimum requirements will replace the current listing criteria applicable at initial listing both on the Main Board and on the </w:t>
      </w:r>
      <w:proofErr w:type="spellStart"/>
      <w:r>
        <w:rPr>
          <w:rFonts w:cs="Tahoma"/>
        </w:rPr>
        <w:t>Diri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Sa</w:t>
      </w:r>
      <w:r w:rsidR="00EC3C93">
        <w:rPr>
          <w:rFonts w:cs="Tahoma"/>
        </w:rPr>
        <w:t>v</w:t>
      </w:r>
      <w:r>
        <w:rPr>
          <w:rFonts w:cs="Tahoma"/>
        </w:rPr>
        <w:t>i</w:t>
      </w:r>
      <w:proofErr w:type="spellEnd"/>
      <w:r>
        <w:rPr>
          <w:rFonts w:cs="Tahoma"/>
        </w:rPr>
        <w:t xml:space="preserve"> Board. The revised Rules </w:t>
      </w:r>
      <w:proofErr w:type="spellStart"/>
      <w:r>
        <w:rPr>
          <w:rFonts w:cs="Tahoma"/>
        </w:rPr>
        <w:t>recognise</w:t>
      </w:r>
      <w:proofErr w:type="spellEnd"/>
      <w:r>
        <w:rPr>
          <w:rFonts w:cs="Tahoma"/>
        </w:rPr>
        <w:t xml:space="preserve"> the contribution made to liquidity from both the free float market </w:t>
      </w:r>
      <w:proofErr w:type="spellStart"/>
      <w:r>
        <w:rPr>
          <w:rFonts w:cs="Tahoma"/>
        </w:rPr>
        <w:t>capitalisation</w:t>
      </w:r>
      <w:proofErr w:type="spellEnd"/>
      <w:r>
        <w:rPr>
          <w:rFonts w:cs="Tahoma"/>
        </w:rPr>
        <w:t xml:space="preserve"> of a company and its public holding. </w:t>
      </w:r>
    </w:p>
    <w:p w:rsidR="008C4611" w:rsidRDefault="008C4611" w:rsidP="008C4611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The free float market </w:t>
      </w:r>
      <w:proofErr w:type="spellStart"/>
      <w:r>
        <w:rPr>
          <w:rFonts w:cs="Tahoma"/>
        </w:rPr>
        <w:t>capitalisation</w:t>
      </w:r>
      <w:proofErr w:type="spellEnd"/>
      <w:r>
        <w:rPr>
          <w:rFonts w:cs="Tahoma"/>
        </w:rPr>
        <w:t xml:space="preserve"> or the float adjusted market </w:t>
      </w:r>
      <w:proofErr w:type="spellStart"/>
      <w:r>
        <w:rPr>
          <w:rFonts w:cs="Tahoma"/>
        </w:rPr>
        <w:t>capit</w:t>
      </w:r>
      <w:r w:rsidRPr="00AD3CD3">
        <w:rPr>
          <w:rFonts w:cs="Tahoma"/>
        </w:rPr>
        <w:t>a</w:t>
      </w:r>
      <w:r>
        <w:rPr>
          <w:rFonts w:cs="Tahoma"/>
        </w:rPr>
        <w:t>lisation</w:t>
      </w:r>
      <w:proofErr w:type="spellEnd"/>
      <w:r>
        <w:rPr>
          <w:rFonts w:cs="Tahoma"/>
        </w:rPr>
        <w:t xml:space="preserve"> is computed by multiplying the Public Holding percentage of a company by the market </w:t>
      </w:r>
      <w:proofErr w:type="spellStart"/>
      <w:r>
        <w:rPr>
          <w:rFonts w:cs="Tahoma"/>
        </w:rPr>
        <w:t>capitalisation</w:t>
      </w:r>
      <w:proofErr w:type="spellEnd"/>
      <w:r>
        <w:rPr>
          <w:rFonts w:cs="Tahoma"/>
        </w:rPr>
        <w:t xml:space="preserve"> of such company.</w:t>
      </w:r>
    </w:p>
    <w:p w:rsidR="008C4611" w:rsidRDefault="008C4611" w:rsidP="008C4611">
      <w:pPr>
        <w:jc w:val="center"/>
        <w:rPr>
          <w:rFonts w:cs="Tahoma"/>
          <w:b/>
          <w:bCs/>
          <w:color w:val="000000"/>
        </w:rPr>
      </w:pPr>
      <w:r w:rsidRPr="00F7696D">
        <w:rPr>
          <w:rFonts w:cs="Tahoma"/>
          <w:b/>
          <w:bCs/>
          <w:color w:val="000000"/>
        </w:rPr>
        <w:t>Revised Thresholds for Compliance - Main Board of the CSE</w:t>
      </w:r>
    </w:p>
    <w:tbl>
      <w:tblPr>
        <w:tblW w:w="0" w:type="auto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2074"/>
        <w:gridCol w:w="1620"/>
        <w:gridCol w:w="1440"/>
      </w:tblGrid>
      <w:tr w:rsidR="008C4611" w:rsidRPr="00E55FF0" w:rsidTr="00BF1B6A">
        <w:trPr>
          <w:trHeight w:val="620"/>
          <w:jc w:val="center"/>
        </w:trPr>
        <w:tc>
          <w:tcPr>
            <w:tcW w:w="948" w:type="dxa"/>
            <w:vMerge w:val="restart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/>
                <w:bCs/>
                <w:sz w:val="18"/>
                <w:szCs w:val="18"/>
              </w:rPr>
              <w:t>OPTION</w:t>
            </w:r>
          </w:p>
        </w:tc>
        <w:tc>
          <w:tcPr>
            <w:tcW w:w="5134" w:type="dxa"/>
            <w:gridSpan w:val="3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/>
                <w:bCs/>
                <w:sz w:val="18"/>
                <w:szCs w:val="18"/>
              </w:rPr>
              <w:t>MINIMUM THRESHOLDS FOR COMPLIANCE</w:t>
            </w:r>
          </w:p>
        </w:tc>
      </w:tr>
      <w:tr w:rsidR="008C4611" w:rsidRPr="00E55FF0" w:rsidTr="00BF1B6A">
        <w:trPr>
          <w:trHeight w:val="135"/>
          <w:jc w:val="center"/>
        </w:trPr>
        <w:tc>
          <w:tcPr>
            <w:tcW w:w="948" w:type="dxa"/>
            <w:vMerge/>
          </w:tcPr>
          <w:p w:rsidR="008C4611" w:rsidRPr="00F7696D" w:rsidRDefault="008C4611" w:rsidP="00BF1B6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 xml:space="preserve">Float-adjusted Market </w:t>
            </w:r>
            <w:proofErr w:type="spellStart"/>
            <w:r w:rsidRPr="00F7696D">
              <w:rPr>
                <w:rFonts w:ascii="Tahoma" w:hAnsi="Tahoma" w:cs="Tahoma"/>
                <w:bCs/>
                <w:sz w:val="18"/>
                <w:szCs w:val="18"/>
              </w:rPr>
              <w:t>Capitalisation</w:t>
            </w:r>
            <w:proofErr w:type="spellEnd"/>
          </w:p>
        </w:tc>
        <w:tc>
          <w:tcPr>
            <w:tcW w:w="162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Public Holding Percentage</w:t>
            </w:r>
          </w:p>
        </w:tc>
        <w:tc>
          <w:tcPr>
            <w:tcW w:w="144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 xml:space="preserve">Number of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Public </w:t>
            </w:r>
            <w:r w:rsidRPr="00F7696D">
              <w:rPr>
                <w:rFonts w:ascii="Tahoma" w:hAnsi="Tahoma" w:cs="Tahoma"/>
                <w:bCs/>
                <w:sz w:val="18"/>
                <w:szCs w:val="18"/>
              </w:rPr>
              <w:t>Shareholders</w:t>
            </w:r>
          </w:p>
        </w:tc>
      </w:tr>
      <w:tr w:rsidR="008C4611" w:rsidRPr="00E55FF0" w:rsidTr="00BF1B6A">
        <w:trPr>
          <w:trHeight w:val="288"/>
          <w:jc w:val="center"/>
        </w:trPr>
        <w:tc>
          <w:tcPr>
            <w:tcW w:w="948" w:type="dxa"/>
            <w:vAlign w:val="center"/>
          </w:tcPr>
          <w:p w:rsidR="008C4611" w:rsidRPr="00F7696D" w:rsidRDefault="008C4611" w:rsidP="00BF1B6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074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 xml:space="preserve">Rs 10 </w:t>
            </w:r>
            <w:proofErr w:type="spellStart"/>
            <w:r w:rsidRPr="00F7696D">
              <w:rPr>
                <w:rFonts w:ascii="Tahoma" w:hAnsi="Tahoma" w:cs="Tahoma"/>
                <w:bCs/>
                <w:sz w:val="18"/>
                <w:szCs w:val="18"/>
              </w:rPr>
              <w:t>bn</w:t>
            </w:r>
            <w:proofErr w:type="spellEnd"/>
          </w:p>
        </w:tc>
        <w:tc>
          <w:tcPr>
            <w:tcW w:w="162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500</w:t>
            </w:r>
          </w:p>
        </w:tc>
      </w:tr>
      <w:tr w:rsidR="008C4611" w:rsidRPr="00E55FF0" w:rsidTr="00BF1B6A">
        <w:trPr>
          <w:trHeight w:val="288"/>
          <w:jc w:val="center"/>
        </w:trPr>
        <w:tc>
          <w:tcPr>
            <w:tcW w:w="948" w:type="dxa"/>
            <w:vAlign w:val="center"/>
          </w:tcPr>
          <w:p w:rsidR="008C4611" w:rsidRPr="00F7696D" w:rsidRDefault="008C4611" w:rsidP="00BF1B6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2074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 xml:space="preserve">Rs 7.5 </w:t>
            </w:r>
            <w:proofErr w:type="spellStart"/>
            <w:r w:rsidRPr="00F7696D">
              <w:rPr>
                <w:rFonts w:ascii="Tahoma" w:hAnsi="Tahoma" w:cs="Tahoma"/>
                <w:bCs/>
                <w:sz w:val="18"/>
                <w:szCs w:val="18"/>
              </w:rPr>
              <w:t>bn</w:t>
            </w:r>
            <w:proofErr w:type="spellEnd"/>
          </w:p>
        </w:tc>
        <w:tc>
          <w:tcPr>
            <w:tcW w:w="162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5%</w:t>
            </w:r>
          </w:p>
        </w:tc>
        <w:tc>
          <w:tcPr>
            <w:tcW w:w="144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500</w:t>
            </w:r>
          </w:p>
        </w:tc>
      </w:tr>
      <w:tr w:rsidR="008C4611" w:rsidRPr="00E55FF0" w:rsidTr="00BF1B6A">
        <w:trPr>
          <w:trHeight w:val="288"/>
          <w:jc w:val="center"/>
        </w:trPr>
        <w:tc>
          <w:tcPr>
            <w:tcW w:w="948" w:type="dxa"/>
            <w:vAlign w:val="center"/>
          </w:tcPr>
          <w:p w:rsidR="008C4611" w:rsidRPr="00F7696D" w:rsidRDefault="008C4611" w:rsidP="00BF1B6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2074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 xml:space="preserve">Rs 5.0 </w:t>
            </w:r>
            <w:proofErr w:type="spellStart"/>
            <w:r w:rsidRPr="00F7696D">
              <w:rPr>
                <w:rFonts w:ascii="Tahoma" w:hAnsi="Tahoma" w:cs="Tahoma"/>
                <w:bCs/>
                <w:sz w:val="18"/>
                <w:szCs w:val="18"/>
              </w:rPr>
              <w:t>bn</w:t>
            </w:r>
            <w:proofErr w:type="spellEnd"/>
          </w:p>
        </w:tc>
        <w:tc>
          <w:tcPr>
            <w:tcW w:w="162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7.5%</w:t>
            </w:r>
          </w:p>
        </w:tc>
        <w:tc>
          <w:tcPr>
            <w:tcW w:w="144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500</w:t>
            </w:r>
          </w:p>
        </w:tc>
      </w:tr>
      <w:tr w:rsidR="008C4611" w:rsidRPr="00E55FF0" w:rsidTr="00BF1B6A">
        <w:trPr>
          <w:trHeight w:val="288"/>
          <w:jc w:val="center"/>
        </w:trPr>
        <w:tc>
          <w:tcPr>
            <w:tcW w:w="948" w:type="dxa"/>
            <w:vAlign w:val="center"/>
          </w:tcPr>
          <w:p w:rsidR="008C4611" w:rsidRPr="00F7696D" w:rsidRDefault="008C4611" w:rsidP="00BF1B6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2074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 xml:space="preserve">Rs 2.5 </w:t>
            </w:r>
            <w:proofErr w:type="spellStart"/>
            <w:r w:rsidRPr="00F7696D">
              <w:rPr>
                <w:rFonts w:ascii="Tahoma" w:hAnsi="Tahoma" w:cs="Tahoma"/>
                <w:bCs/>
                <w:sz w:val="18"/>
                <w:szCs w:val="18"/>
              </w:rPr>
              <w:t>bn</w:t>
            </w:r>
            <w:proofErr w:type="spellEnd"/>
          </w:p>
        </w:tc>
        <w:tc>
          <w:tcPr>
            <w:tcW w:w="162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10%</w:t>
            </w:r>
          </w:p>
        </w:tc>
        <w:tc>
          <w:tcPr>
            <w:tcW w:w="144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500</w:t>
            </w:r>
          </w:p>
        </w:tc>
      </w:tr>
      <w:tr w:rsidR="008C4611" w:rsidRPr="00E55FF0" w:rsidTr="00BF1B6A">
        <w:trPr>
          <w:trHeight w:val="288"/>
          <w:jc w:val="center"/>
        </w:trPr>
        <w:tc>
          <w:tcPr>
            <w:tcW w:w="948" w:type="dxa"/>
            <w:vAlign w:val="center"/>
          </w:tcPr>
          <w:p w:rsidR="008C4611" w:rsidRPr="00F7696D" w:rsidRDefault="008C4611" w:rsidP="00BF1B6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2074" w:type="dxa"/>
            <w:vAlign w:val="center"/>
          </w:tcPr>
          <w:p w:rsidR="008C4611" w:rsidRPr="00F7696D" w:rsidRDefault="008C4611" w:rsidP="00BF1B6A">
            <w:pPr>
              <w:tabs>
                <w:tab w:val="left" w:pos="615"/>
                <w:tab w:val="center" w:pos="1133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20%</w:t>
            </w:r>
          </w:p>
        </w:tc>
        <w:tc>
          <w:tcPr>
            <w:tcW w:w="144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500</w:t>
            </w:r>
          </w:p>
        </w:tc>
      </w:tr>
    </w:tbl>
    <w:p w:rsidR="008C4611" w:rsidRDefault="008C4611" w:rsidP="008C4611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8C4611" w:rsidRDefault="008C4611" w:rsidP="008C4611">
      <w:pPr>
        <w:jc w:val="center"/>
        <w:rPr>
          <w:rFonts w:cs="Tahoma"/>
          <w:b/>
          <w:bCs/>
          <w:color w:val="000000"/>
        </w:rPr>
      </w:pPr>
      <w:r w:rsidRPr="00F7696D">
        <w:rPr>
          <w:rFonts w:cs="Tahoma"/>
          <w:b/>
          <w:bCs/>
          <w:color w:val="000000"/>
        </w:rPr>
        <w:t xml:space="preserve">Revised Thresholds for Compliance - </w:t>
      </w:r>
      <w:proofErr w:type="spellStart"/>
      <w:r w:rsidRPr="00F7696D">
        <w:rPr>
          <w:rFonts w:cs="Tahoma"/>
          <w:b/>
          <w:bCs/>
          <w:color w:val="000000"/>
        </w:rPr>
        <w:t>Diri</w:t>
      </w:r>
      <w:proofErr w:type="spellEnd"/>
      <w:r w:rsidRPr="00F7696D">
        <w:rPr>
          <w:rFonts w:cs="Tahoma"/>
          <w:b/>
          <w:bCs/>
          <w:color w:val="000000"/>
        </w:rPr>
        <w:t xml:space="preserve"> </w:t>
      </w:r>
      <w:proofErr w:type="spellStart"/>
      <w:r w:rsidRPr="00F7696D">
        <w:rPr>
          <w:rFonts w:cs="Tahoma"/>
          <w:b/>
          <w:bCs/>
          <w:color w:val="000000"/>
        </w:rPr>
        <w:t>Savi</w:t>
      </w:r>
      <w:proofErr w:type="spellEnd"/>
      <w:r w:rsidRPr="00F7696D">
        <w:rPr>
          <w:rFonts w:cs="Tahoma"/>
          <w:b/>
          <w:bCs/>
          <w:color w:val="000000"/>
        </w:rPr>
        <w:t xml:space="preserve"> Board of the</w:t>
      </w:r>
      <w:r w:rsidRPr="00F7696D">
        <w:rPr>
          <w:rFonts w:cs="Tahoma"/>
          <w:bCs/>
          <w:color w:val="000000"/>
        </w:rPr>
        <w:t xml:space="preserve"> </w:t>
      </w:r>
      <w:r w:rsidRPr="00F7696D">
        <w:rPr>
          <w:rFonts w:cs="Tahoma"/>
          <w:b/>
          <w:bCs/>
          <w:color w:val="000000"/>
        </w:rPr>
        <w:t>CSE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2070"/>
        <w:gridCol w:w="1620"/>
        <w:gridCol w:w="1440"/>
      </w:tblGrid>
      <w:tr w:rsidR="008C4611" w:rsidRPr="00AB0E38" w:rsidTr="00BF1B6A">
        <w:trPr>
          <w:trHeight w:val="364"/>
        </w:trPr>
        <w:tc>
          <w:tcPr>
            <w:tcW w:w="990" w:type="dxa"/>
            <w:vMerge w:val="restart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/>
                <w:bCs/>
                <w:sz w:val="18"/>
                <w:szCs w:val="18"/>
              </w:rPr>
              <w:t>OPTION</w:t>
            </w:r>
          </w:p>
        </w:tc>
        <w:tc>
          <w:tcPr>
            <w:tcW w:w="5130" w:type="dxa"/>
            <w:gridSpan w:val="3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/>
                <w:bCs/>
                <w:sz w:val="18"/>
                <w:szCs w:val="18"/>
              </w:rPr>
              <w:t>MINIMUM THRESHOLDS FOR COMPLIANCE</w:t>
            </w:r>
          </w:p>
        </w:tc>
      </w:tr>
      <w:tr w:rsidR="008C4611" w:rsidRPr="00AB0E38" w:rsidTr="00BF1B6A">
        <w:trPr>
          <w:trHeight w:val="133"/>
        </w:trPr>
        <w:tc>
          <w:tcPr>
            <w:tcW w:w="990" w:type="dxa"/>
            <w:vMerge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 xml:space="preserve">Float-adjusted Market </w:t>
            </w:r>
            <w:proofErr w:type="spellStart"/>
            <w:r w:rsidRPr="00F7696D">
              <w:rPr>
                <w:rFonts w:ascii="Tahoma" w:hAnsi="Tahoma" w:cs="Tahoma"/>
                <w:bCs/>
                <w:sz w:val="18"/>
                <w:szCs w:val="18"/>
              </w:rPr>
              <w:t>Capitalisation</w:t>
            </w:r>
            <w:proofErr w:type="spellEnd"/>
          </w:p>
        </w:tc>
        <w:tc>
          <w:tcPr>
            <w:tcW w:w="162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Public Holding Percentage</w:t>
            </w:r>
          </w:p>
        </w:tc>
        <w:tc>
          <w:tcPr>
            <w:tcW w:w="1440" w:type="dxa"/>
            <w:vAlign w:val="center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 xml:space="preserve">Number of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Public </w:t>
            </w:r>
            <w:r w:rsidRPr="00F7696D">
              <w:rPr>
                <w:rFonts w:ascii="Tahoma" w:hAnsi="Tahoma" w:cs="Tahoma"/>
                <w:bCs/>
                <w:sz w:val="18"/>
                <w:szCs w:val="18"/>
              </w:rPr>
              <w:t>Shareholders</w:t>
            </w:r>
          </w:p>
        </w:tc>
      </w:tr>
      <w:tr w:rsidR="008C4611" w:rsidRPr="00E55FF0" w:rsidTr="00BF1B6A">
        <w:trPr>
          <w:trHeight w:val="364"/>
        </w:trPr>
        <w:tc>
          <w:tcPr>
            <w:tcW w:w="990" w:type="dxa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 xml:space="preserve">Rs 1 </w:t>
            </w:r>
            <w:proofErr w:type="spellStart"/>
            <w:r w:rsidRPr="00F7696D">
              <w:rPr>
                <w:rFonts w:ascii="Tahoma" w:hAnsi="Tahoma" w:cs="Tahoma"/>
                <w:bCs/>
                <w:sz w:val="18"/>
                <w:szCs w:val="18"/>
              </w:rPr>
              <w:t>bn</w:t>
            </w:r>
            <w:proofErr w:type="spellEnd"/>
          </w:p>
        </w:tc>
        <w:tc>
          <w:tcPr>
            <w:tcW w:w="1620" w:type="dxa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7.5%</w:t>
            </w:r>
          </w:p>
        </w:tc>
        <w:tc>
          <w:tcPr>
            <w:tcW w:w="1440" w:type="dxa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200</w:t>
            </w:r>
          </w:p>
        </w:tc>
      </w:tr>
      <w:tr w:rsidR="008C4611" w:rsidRPr="00E55FF0" w:rsidTr="00BF1B6A">
        <w:trPr>
          <w:trHeight w:val="375"/>
        </w:trPr>
        <w:tc>
          <w:tcPr>
            <w:tcW w:w="990" w:type="dxa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10%</w:t>
            </w:r>
          </w:p>
        </w:tc>
        <w:tc>
          <w:tcPr>
            <w:tcW w:w="1440" w:type="dxa"/>
          </w:tcPr>
          <w:p w:rsidR="008C4611" w:rsidRPr="00F7696D" w:rsidRDefault="008C4611" w:rsidP="00BF1B6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696D">
              <w:rPr>
                <w:rFonts w:ascii="Tahoma" w:hAnsi="Tahoma" w:cs="Tahoma"/>
                <w:bCs/>
                <w:sz w:val="18"/>
                <w:szCs w:val="18"/>
              </w:rPr>
              <w:t>200</w:t>
            </w:r>
          </w:p>
        </w:tc>
      </w:tr>
    </w:tbl>
    <w:p w:rsidR="008C4611" w:rsidRDefault="008C4611" w:rsidP="008C4611">
      <w:pPr>
        <w:jc w:val="both"/>
        <w:rPr>
          <w:rFonts w:cs="Tahoma"/>
          <w:b/>
          <w:bCs/>
          <w:color w:val="000000"/>
        </w:rPr>
      </w:pPr>
    </w:p>
    <w:p w:rsidR="008C4611" w:rsidRDefault="008C4611" w:rsidP="008C4611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The revision of the public float criteria and the flexibility it affords is expected to encourage more listing on the CSE. </w:t>
      </w:r>
    </w:p>
    <w:p w:rsidR="008C4611" w:rsidRPr="00F7696D" w:rsidRDefault="008C4611" w:rsidP="008C4611">
      <w:pPr>
        <w:spacing w:line="360" w:lineRule="auto"/>
        <w:jc w:val="both"/>
        <w:rPr>
          <w:color w:val="000000"/>
        </w:rPr>
      </w:pPr>
    </w:p>
    <w:p w:rsidR="00394EAC" w:rsidRPr="00394EAC" w:rsidRDefault="00394EAC" w:rsidP="00394EAC">
      <w:pPr>
        <w:spacing w:line="240" w:lineRule="auto"/>
        <w:jc w:val="both"/>
        <w:rPr>
          <w:b/>
        </w:rPr>
      </w:pPr>
      <w:r w:rsidRPr="00394EAC">
        <w:rPr>
          <w:b/>
        </w:rPr>
        <w:t>Issued by</w:t>
      </w:r>
    </w:p>
    <w:p w:rsidR="00394EAC" w:rsidRDefault="00394EAC" w:rsidP="00394EAC">
      <w:pPr>
        <w:spacing w:line="240" w:lineRule="auto"/>
        <w:contextualSpacing/>
      </w:pPr>
      <w:r w:rsidRPr="00394EAC">
        <w:t>Director, External Relations</w:t>
      </w:r>
      <w:r w:rsidR="00E27C90">
        <w:t xml:space="preserve"> and Surveillance</w:t>
      </w:r>
    </w:p>
    <w:p w:rsidR="0046226F" w:rsidRPr="00394EAC" w:rsidRDefault="0046226F" w:rsidP="00394EAC">
      <w:pPr>
        <w:spacing w:line="240" w:lineRule="auto"/>
        <w:contextualSpacing/>
      </w:pPr>
    </w:p>
    <w:p w:rsidR="00394EAC" w:rsidRDefault="0046226F" w:rsidP="00394EAC">
      <w:pPr>
        <w:tabs>
          <w:tab w:val="left" w:pos="795"/>
        </w:tabs>
        <w:spacing w:line="240" w:lineRule="auto"/>
        <w:contextualSpacing/>
      </w:pPr>
      <w:r w:rsidRPr="0046226F">
        <w:rPr>
          <w:noProof/>
        </w:rPr>
        <w:drawing>
          <wp:inline distT="0" distB="0" distL="0" distR="0">
            <wp:extent cx="1294361" cy="271550"/>
            <wp:effectExtent l="19050" t="0" r="1039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21" cy="2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AC" w:rsidRPr="00394EAC" w:rsidRDefault="00394EAC" w:rsidP="00394EAC">
      <w:pPr>
        <w:tabs>
          <w:tab w:val="left" w:pos="795"/>
        </w:tabs>
        <w:spacing w:line="240" w:lineRule="auto"/>
        <w:contextualSpacing/>
      </w:pPr>
      <w:r w:rsidRPr="00394EAC">
        <w:t xml:space="preserve">Level 28-29, East Tower, World Trade Center </w:t>
      </w:r>
    </w:p>
    <w:p w:rsidR="00394EAC" w:rsidRPr="00394EAC" w:rsidRDefault="00394EAC" w:rsidP="00394EAC">
      <w:pPr>
        <w:spacing w:line="240" w:lineRule="auto"/>
        <w:contextualSpacing/>
      </w:pPr>
      <w:r w:rsidRPr="00394EAC">
        <w:t>Echelon Square, Colombo 01, Sri Lanka</w:t>
      </w:r>
    </w:p>
    <w:p w:rsidR="00394EAC" w:rsidRPr="00394EAC" w:rsidRDefault="00394EAC" w:rsidP="00394EAC">
      <w:pPr>
        <w:spacing w:line="240" w:lineRule="auto"/>
        <w:contextualSpacing/>
      </w:pPr>
      <w:r w:rsidRPr="00394EAC">
        <w:t>Phone:     (+94 11) 2439144 -8, 2331013 ext 1</w:t>
      </w:r>
      <w:r w:rsidR="00E27C90">
        <w:t>17</w:t>
      </w:r>
    </w:p>
    <w:p w:rsidR="00394EAC" w:rsidRPr="00394EAC" w:rsidRDefault="00394EAC" w:rsidP="00394EAC">
      <w:pPr>
        <w:spacing w:line="240" w:lineRule="auto"/>
        <w:contextualSpacing/>
      </w:pPr>
      <w:r w:rsidRPr="00394EAC">
        <w:t>Direct         (+94 11) 2331017</w:t>
      </w:r>
    </w:p>
    <w:p w:rsidR="00394EAC" w:rsidRPr="00394EAC" w:rsidRDefault="00394EAC" w:rsidP="00394EAC">
      <w:pPr>
        <w:spacing w:line="240" w:lineRule="auto"/>
        <w:contextualSpacing/>
      </w:pPr>
      <w:r w:rsidRPr="00394EAC">
        <w:t>Fax     :      (+94 11) 2439149</w:t>
      </w:r>
    </w:p>
    <w:p w:rsidR="00394EAC" w:rsidRPr="00394EAC" w:rsidRDefault="00394EAC" w:rsidP="00394EAC">
      <w:pPr>
        <w:spacing w:line="240" w:lineRule="auto"/>
        <w:contextualSpacing/>
      </w:pPr>
      <w:r w:rsidRPr="00394EAC">
        <w:t>E-Mail:      tushara@sec.gov.lk</w:t>
      </w:r>
    </w:p>
    <w:p w:rsidR="0047775C" w:rsidRPr="00394EAC" w:rsidRDefault="00394EAC" w:rsidP="00394EAC">
      <w:pPr>
        <w:spacing w:line="240" w:lineRule="auto"/>
        <w:contextualSpacing/>
      </w:pPr>
      <w:r w:rsidRPr="00394EAC">
        <w:t>Website:  http://www.sec.gov.lk</w:t>
      </w:r>
    </w:p>
    <w:sectPr w:rsidR="0047775C" w:rsidRPr="00394EAC" w:rsidSect="00605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47775C"/>
    <w:rsid w:val="000236E2"/>
    <w:rsid w:val="00057498"/>
    <w:rsid w:val="00070942"/>
    <w:rsid w:val="0020442F"/>
    <w:rsid w:val="00394EAC"/>
    <w:rsid w:val="0046226F"/>
    <w:rsid w:val="0047775C"/>
    <w:rsid w:val="0048758F"/>
    <w:rsid w:val="00605BDB"/>
    <w:rsid w:val="008A414D"/>
    <w:rsid w:val="008C4611"/>
    <w:rsid w:val="00A80EAA"/>
    <w:rsid w:val="00B75205"/>
    <w:rsid w:val="00C5541F"/>
    <w:rsid w:val="00DC0335"/>
    <w:rsid w:val="00E27C90"/>
    <w:rsid w:val="00EA7887"/>
    <w:rsid w:val="00EC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26F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014B1-0A24-4B67-8A8B-855DCD62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Tushara</dc:creator>
  <cp:lastModifiedBy>tushara</cp:lastModifiedBy>
  <cp:revision>3</cp:revision>
  <cp:lastPrinted>2016-11-17T10:02:00Z</cp:lastPrinted>
  <dcterms:created xsi:type="dcterms:W3CDTF">2016-11-17T10:07:00Z</dcterms:created>
  <dcterms:modified xsi:type="dcterms:W3CDTF">2016-11-17T10:12:00Z</dcterms:modified>
</cp:coreProperties>
</file>