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3449978"/>
        <w:docPartObj>
          <w:docPartGallery w:val="Cover Pages"/>
          <w:docPartUnique/>
        </w:docPartObj>
      </w:sdtPr>
      <w:sdtEndPr>
        <w:rPr>
          <w:rFonts w:ascii="BookAntiqua-Bold" w:eastAsiaTheme="minorHAnsi" w:hAnsi="BookAntiqua-Bold" w:cs="BookAntiqua-Bold"/>
          <w:b/>
          <w:bCs/>
          <w:color w:val="1F487B"/>
          <w:sz w:val="26"/>
          <w:szCs w:val="26"/>
          <w:lang w:bidi="ta-IN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290"/>
          </w:tblGrid>
          <w:tr w:rsidR="00D7671C">
            <w:sdt>
              <w:sdtPr>
                <w:rPr>
                  <w:rFonts w:asciiTheme="majorHAnsi" w:eastAsiaTheme="majorEastAsia" w:hAnsiTheme="majorHAnsi" w:cstheme="majorBidi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bCs/>
                  <w:sz w:val="36"/>
                  <w:szCs w:val="36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7671C" w:rsidRDefault="007B7E50" w:rsidP="005A5B67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sz w:val="36"/>
                        <w:szCs w:val="36"/>
                      </w:rPr>
                      <w:t xml:space="preserve">  Consultation Paper </w:t>
                    </w:r>
                    <w:r w:rsidR="00252E26">
                      <w:rPr>
                        <w:rFonts w:asciiTheme="majorHAnsi" w:eastAsiaTheme="majorEastAsia" w:hAnsiTheme="majorHAnsi" w:cstheme="majorBidi"/>
                        <w:b/>
                        <w:bCs/>
                        <w:sz w:val="36"/>
                        <w:szCs w:val="36"/>
                      </w:rPr>
                      <w:t>24</w:t>
                    </w:r>
                  </w:p>
                </w:tc>
              </w:sdtContent>
            </w:sdt>
          </w:tr>
          <w:tr w:rsidR="00D7671C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D7671C" w:rsidRDefault="00F855AA" w:rsidP="00F855AA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DRAFT OF THE</w:t>
                    </w:r>
                    <w:r w:rsidR="007D68E5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 NEW TAKEOVERS AND MERGERS CODE-</w:t>
                    </w: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2014</w:t>
                    </w:r>
                  </w:p>
                </w:sdtContent>
              </w:sdt>
            </w:tc>
          </w:tr>
          <w:tr w:rsidR="00D7671C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sz w:val="24"/>
                  <w:szCs w:val="24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7671C" w:rsidRDefault="00336C90" w:rsidP="00F855AA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F855AA">
                      <w:rPr>
                        <w:rFonts w:asciiTheme="majorHAnsi" w:eastAsiaTheme="majorEastAsia" w:hAnsiTheme="majorHAnsi" w:cstheme="majorBidi"/>
                        <w:b/>
                        <w:bCs/>
                        <w:sz w:val="24"/>
                        <w:szCs w:val="24"/>
                      </w:rPr>
                      <w:t>December</w:t>
                    </w:r>
                    <w:r w:rsidR="00153293">
                      <w:rPr>
                        <w:rFonts w:asciiTheme="majorHAnsi" w:eastAsiaTheme="majorEastAsia" w:hAnsiTheme="majorHAnsi" w:cstheme="majorBidi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D7671C" w:rsidRPr="00912996">
                      <w:rPr>
                        <w:rFonts w:asciiTheme="majorHAnsi" w:eastAsiaTheme="majorEastAsia" w:hAnsiTheme="majorHAnsi" w:cstheme="majorBidi"/>
                        <w:b/>
                        <w:bCs/>
                        <w:sz w:val="24"/>
                        <w:szCs w:val="24"/>
                      </w:rPr>
                      <w:t xml:space="preserve"> 201</w:t>
                    </w:r>
                    <w:r w:rsidR="00153293">
                      <w:rPr>
                        <w:rFonts w:asciiTheme="majorHAnsi" w:eastAsiaTheme="majorEastAsia" w:hAnsiTheme="majorHAnsi" w:cstheme="majorBidi"/>
                        <w:b/>
                        <w:bCs/>
                        <w:sz w:val="24"/>
                        <w:szCs w:val="24"/>
                      </w:rPr>
                      <w:t>4</w:t>
                    </w:r>
                  </w:p>
                </w:tc>
              </w:sdtContent>
            </w:sdt>
          </w:tr>
        </w:tbl>
        <w:p w:rsidR="00D7671C" w:rsidRDefault="009D40DD">
          <w:r>
            <w:rPr>
              <w:noProof/>
              <w:lang w:bidi="ta-IN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7" type="#_x0000_t32" style="position:absolute;margin-left:4.35pt;margin-top:20.25pt;width:431.25pt;height:0;z-index:251661312;mso-position-horizontal-relative:text;mso-position-vertical-relative:text" o:connectortype="straight" strokecolor="#4f81bd [3204]" strokeweight="3pt">
                <v:shadow color="#868686"/>
              </v:shape>
            </w:pict>
          </w:r>
        </w:p>
        <w:p w:rsidR="00D7671C" w:rsidRDefault="00D7671C"/>
        <w:p w:rsidR="00D7671C" w:rsidRDefault="00D7671C"/>
        <w:tbl>
          <w:tblPr>
            <w:tblpPr w:leftFromText="187" w:rightFromText="187" w:vertAnchor="page" w:horzAnchor="margin" w:tblpXSpec="center" w:tblpY="14116"/>
            <w:tblW w:w="4000" w:type="pct"/>
            <w:tblLook w:val="04A0"/>
          </w:tblPr>
          <w:tblGrid>
            <w:gridCol w:w="7290"/>
          </w:tblGrid>
          <w:tr w:rsidR="007F31BA" w:rsidTr="007F31BA">
            <w:tc>
              <w:tcPr>
                <w:tcW w:w="729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7F31BA" w:rsidRPr="00365365" w:rsidRDefault="007F31BA" w:rsidP="007F31BA">
                <w:pPr>
                  <w:spacing w:after="0"/>
                  <w:jc w:val="center"/>
                  <w:rPr>
                    <w:b/>
                    <w:bCs/>
                  </w:rPr>
                </w:pPr>
                <w:r w:rsidRPr="00365365">
                  <w:rPr>
                    <w:b/>
                    <w:bCs/>
                  </w:rPr>
                  <w:t>LEVEL 28 &amp; 29, EAST TOWER, WORLD TRADE CENTER</w:t>
                </w:r>
              </w:p>
              <w:p w:rsidR="007F31BA" w:rsidRPr="00365365" w:rsidRDefault="007F31BA" w:rsidP="007F31BA">
                <w:pPr>
                  <w:spacing w:after="0"/>
                  <w:jc w:val="center"/>
                  <w:rPr>
                    <w:b/>
                    <w:bCs/>
                  </w:rPr>
                </w:pPr>
                <w:r w:rsidRPr="00365365">
                  <w:rPr>
                    <w:b/>
                    <w:bCs/>
                  </w:rPr>
                  <w:t>ECHELON SQUARE, COLOMBO 01.</w:t>
                </w:r>
              </w:p>
              <w:p w:rsidR="007F31BA" w:rsidRDefault="007F31BA" w:rsidP="007F31BA">
                <w:pPr>
                  <w:pStyle w:val="NoSpacing"/>
                  <w:rPr>
                    <w:color w:val="4F81BD" w:themeColor="accent1"/>
                  </w:rPr>
                </w:pPr>
              </w:p>
              <w:p w:rsidR="007F31BA" w:rsidRDefault="007F31BA" w:rsidP="007F31BA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D7671C" w:rsidRDefault="007F31BA">
          <w:pPr>
            <w:rPr>
              <w:rFonts w:ascii="BookAntiqua-Bold" w:hAnsi="BookAntiqua-Bold" w:cs="BookAntiqua-Bold"/>
              <w:b/>
              <w:bCs/>
              <w:color w:val="1F487B"/>
              <w:sz w:val="26"/>
              <w:szCs w:val="26"/>
              <w:lang w:bidi="ta-IN"/>
            </w:rPr>
          </w:pPr>
          <w:r>
            <w:rPr>
              <w:noProof/>
              <w:color w:val="4F81BD" w:themeColor="accent1"/>
            </w:rPr>
            <w:t xml:space="preserve"> </w:t>
          </w:r>
          <w:r>
            <w:rPr>
              <w:noProof/>
              <w:color w:val="4F81BD" w:themeColor="accent1"/>
              <w:lang w:bidi="si-LK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6678930</wp:posOffset>
                </wp:positionV>
                <wp:extent cx="3581400" cy="762000"/>
                <wp:effectExtent l="19050" t="0" r="0" b="0"/>
                <wp:wrapSquare wrapText="bothSides"/>
                <wp:docPr id="2" name="Picture 1" descr="SE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 l="13477" t="58376" r="34276" b="333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4F81BD" w:themeColor="accent1"/>
            </w:rPr>
            <w:t xml:space="preserve"> </w:t>
          </w:r>
          <w:r w:rsidR="009D40DD" w:rsidRPr="009D40DD">
            <w:rPr>
              <w:noProof/>
              <w:color w:val="4F81BD" w:themeColor="accent1"/>
              <w:lang w:bidi="ta-IN"/>
            </w:rPr>
            <w:pict>
              <v:shape id="_x0000_s1026" type="#_x0000_t32" style="position:absolute;margin-left:12.6pt;margin-top:675.15pt;width:431.25pt;height:0;z-index:251660288;mso-position-horizontal-relative:text;mso-position-vertical-relative:text" o:connectortype="straight" strokecolor="#4f81bd [3204]" strokeweight="3pt">
                <v:shadow color="#868686"/>
              </v:shape>
            </w:pict>
          </w:r>
          <w:r w:rsidR="00D7671C">
            <w:rPr>
              <w:rFonts w:ascii="BookAntiqua-Bold" w:hAnsi="BookAntiqua-Bold" w:cs="BookAntiqua-Bold"/>
              <w:b/>
              <w:bCs/>
              <w:color w:val="1F487B"/>
              <w:sz w:val="26"/>
              <w:szCs w:val="26"/>
              <w:lang w:bidi="ta-IN"/>
            </w:rPr>
            <w:br w:type="page"/>
          </w:r>
        </w:p>
      </w:sdtContent>
    </w:sdt>
    <w:p w:rsidR="003D686D" w:rsidRPr="00CE4363" w:rsidRDefault="003D686D" w:rsidP="002862DA">
      <w:pPr>
        <w:autoSpaceDE w:val="0"/>
        <w:autoSpaceDN w:val="0"/>
        <w:adjustRightInd w:val="0"/>
        <w:spacing w:after="0" w:line="360" w:lineRule="auto"/>
        <w:rPr>
          <w:rFonts w:ascii="BookAntiqua-Bold" w:hAnsi="BookAntiqua-Bold" w:cs="BookAntiqua-Bold"/>
          <w:color w:val="1F487B"/>
          <w:sz w:val="8"/>
          <w:szCs w:val="8"/>
          <w:lang w:bidi="ta-IN"/>
        </w:rPr>
      </w:pPr>
    </w:p>
    <w:p w:rsidR="008E42F0" w:rsidRPr="00CE3113" w:rsidRDefault="008E42F0" w:rsidP="002862DA">
      <w:pPr>
        <w:autoSpaceDE w:val="0"/>
        <w:autoSpaceDN w:val="0"/>
        <w:adjustRightInd w:val="0"/>
        <w:spacing w:after="0" w:line="360" w:lineRule="auto"/>
        <w:rPr>
          <w:rFonts w:ascii="BookAntiqua-Bold" w:hAnsi="BookAntiqua-Bold" w:cs="BookAntiqua-Bold"/>
          <w:color w:val="1F487B"/>
          <w:sz w:val="28"/>
          <w:szCs w:val="28"/>
          <w:lang w:bidi="ta-IN"/>
        </w:rPr>
      </w:pPr>
      <w:r w:rsidRPr="00CE3113">
        <w:rPr>
          <w:rFonts w:ascii="BookAntiqua-Bold" w:hAnsi="BookAntiqua-Bold" w:cs="BookAntiqua-Bold"/>
          <w:color w:val="1F487B"/>
          <w:sz w:val="28"/>
          <w:szCs w:val="28"/>
          <w:lang w:bidi="ta-IN"/>
        </w:rPr>
        <w:t xml:space="preserve">Consultation Paper </w:t>
      </w:r>
      <w:r w:rsidR="00252E26">
        <w:rPr>
          <w:rFonts w:ascii="BookAntiqua-Bold" w:hAnsi="BookAntiqua-Bold" w:cs="BookAntiqua-Bold"/>
          <w:color w:val="1F487B"/>
          <w:sz w:val="28"/>
          <w:szCs w:val="28"/>
          <w:lang w:bidi="ta-IN"/>
        </w:rPr>
        <w:t>24</w:t>
      </w:r>
    </w:p>
    <w:p w:rsidR="007939C0" w:rsidRDefault="007939C0" w:rsidP="00A7033F">
      <w:pPr>
        <w:spacing w:after="0"/>
        <w:jc w:val="both"/>
        <w:rPr>
          <w:rFonts w:ascii="Tahoma" w:hAnsi="Tahoma" w:cs="Tahoma"/>
          <w:b/>
          <w:bCs/>
          <w:color w:val="1F487B"/>
          <w:sz w:val="25"/>
          <w:szCs w:val="25"/>
          <w:lang w:bidi="ta-IN"/>
        </w:rPr>
      </w:pPr>
    </w:p>
    <w:p w:rsidR="00531A77" w:rsidRPr="00F1558D" w:rsidRDefault="00531A77" w:rsidP="00A7033F">
      <w:pPr>
        <w:spacing w:after="0"/>
        <w:jc w:val="both"/>
        <w:rPr>
          <w:rFonts w:ascii="Tahoma" w:hAnsi="Tahoma" w:cs="Tahoma"/>
          <w:b/>
          <w:bCs/>
          <w:sz w:val="6"/>
          <w:szCs w:val="6"/>
        </w:rPr>
      </w:pPr>
    </w:p>
    <w:p w:rsidR="00A7033F" w:rsidRPr="00A7033F" w:rsidRDefault="00B554DE" w:rsidP="00A7033F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Background</w:t>
      </w:r>
      <w:r w:rsidR="00A7033F" w:rsidRPr="00A7033F">
        <w:rPr>
          <w:rFonts w:ascii="Tahoma" w:hAnsi="Tahoma" w:cs="Tahoma"/>
          <w:b/>
          <w:bCs/>
          <w:sz w:val="20"/>
          <w:szCs w:val="20"/>
        </w:rPr>
        <w:t>:</w:t>
      </w:r>
    </w:p>
    <w:p w:rsidR="00A7033F" w:rsidRDefault="00B554DE" w:rsidP="00CE4363">
      <w:pPr>
        <w:spacing w:before="120" w:after="12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The New Takeovers and Mergers Code annexed hereto has been designed in a manner that readers can better understand and appreciate the spirit and the Rules of the Takeover Law</w:t>
      </w:r>
      <w:r w:rsidR="004A6124">
        <w:rPr>
          <w:rFonts w:ascii="Tahoma" w:eastAsia="Calibri" w:hAnsi="Tahoma" w:cs="Tahoma"/>
          <w:sz w:val="20"/>
          <w:szCs w:val="20"/>
        </w:rPr>
        <w:t>. The Code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="004A6124">
        <w:rPr>
          <w:rFonts w:ascii="Tahoma" w:eastAsia="Calibri" w:hAnsi="Tahoma" w:cs="Tahoma"/>
          <w:sz w:val="20"/>
          <w:szCs w:val="20"/>
        </w:rPr>
        <w:t xml:space="preserve">has </w:t>
      </w:r>
      <w:r>
        <w:rPr>
          <w:rFonts w:ascii="Tahoma" w:eastAsia="Calibri" w:hAnsi="Tahoma" w:cs="Tahoma"/>
          <w:sz w:val="20"/>
          <w:szCs w:val="20"/>
        </w:rPr>
        <w:t>enhanc</w:t>
      </w:r>
      <w:r w:rsidR="004A6124">
        <w:rPr>
          <w:rFonts w:ascii="Tahoma" w:eastAsia="Calibri" w:hAnsi="Tahoma" w:cs="Tahoma"/>
          <w:sz w:val="20"/>
          <w:szCs w:val="20"/>
        </w:rPr>
        <w:t>ed</w:t>
      </w:r>
      <w:r>
        <w:rPr>
          <w:rFonts w:ascii="Tahoma" w:eastAsia="Calibri" w:hAnsi="Tahoma" w:cs="Tahoma"/>
          <w:sz w:val="20"/>
          <w:szCs w:val="20"/>
        </w:rPr>
        <w:t xml:space="preserve"> the protection afforded to shareholders of Listed Companies in respect of Takeovers ensuring that they are treated fairly and are not denied an opportunity to exit from </w:t>
      </w:r>
      <w:r w:rsidR="004A6124">
        <w:rPr>
          <w:rFonts w:ascii="Tahoma" w:eastAsia="Calibri" w:hAnsi="Tahoma" w:cs="Tahoma"/>
          <w:sz w:val="20"/>
          <w:szCs w:val="20"/>
        </w:rPr>
        <w:t>a Listed Company</w:t>
      </w:r>
      <w:r>
        <w:rPr>
          <w:rFonts w:ascii="Tahoma" w:eastAsia="Calibri" w:hAnsi="Tahoma" w:cs="Tahoma"/>
          <w:sz w:val="20"/>
          <w:szCs w:val="20"/>
        </w:rPr>
        <w:t xml:space="preserve"> after deciding </w:t>
      </w:r>
      <w:r w:rsidR="00131002">
        <w:rPr>
          <w:rFonts w:ascii="Tahoma" w:eastAsia="Calibri" w:hAnsi="Tahoma" w:cs="Tahoma"/>
          <w:sz w:val="20"/>
          <w:szCs w:val="20"/>
        </w:rPr>
        <w:t xml:space="preserve">on </w:t>
      </w:r>
      <w:r>
        <w:rPr>
          <w:rFonts w:ascii="Tahoma" w:eastAsia="Calibri" w:hAnsi="Tahoma" w:cs="Tahoma"/>
          <w:sz w:val="20"/>
          <w:szCs w:val="20"/>
        </w:rPr>
        <w:t>the merits of a Takeover or Merger.</w:t>
      </w:r>
      <w:r w:rsidR="00131002">
        <w:rPr>
          <w:rFonts w:ascii="Tahoma" w:eastAsia="Calibri" w:hAnsi="Tahoma" w:cs="Tahoma"/>
          <w:sz w:val="20"/>
          <w:szCs w:val="20"/>
        </w:rPr>
        <w:t xml:space="preserve"> Whilst the standards of adherence to the Code ha</w:t>
      </w:r>
      <w:r w:rsidR="004A6124">
        <w:rPr>
          <w:rFonts w:ascii="Tahoma" w:eastAsia="Calibri" w:hAnsi="Tahoma" w:cs="Tahoma"/>
          <w:sz w:val="20"/>
          <w:szCs w:val="20"/>
        </w:rPr>
        <w:t>ve</w:t>
      </w:r>
      <w:r w:rsidR="00131002">
        <w:rPr>
          <w:rFonts w:ascii="Tahoma" w:eastAsia="Calibri" w:hAnsi="Tahoma" w:cs="Tahoma"/>
          <w:sz w:val="20"/>
          <w:szCs w:val="20"/>
        </w:rPr>
        <w:t xml:space="preserve"> been considerably raised, the discretion </w:t>
      </w:r>
      <w:r w:rsidR="004A6124">
        <w:rPr>
          <w:rFonts w:ascii="Tahoma" w:eastAsia="Calibri" w:hAnsi="Tahoma" w:cs="Tahoma"/>
          <w:sz w:val="20"/>
          <w:szCs w:val="20"/>
        </w:rPr>
        <w:t xml:space="preserve">and flexibility </w:t>
      </w:r>
      <w:r w:rsidR="00131002">
        <w:rPr>
          <w:rFonts w:ascii="Tahoma" w:eastAsia="Calibri" w:hAnsi="Tahoma" w:cs="Tahoma"/>
          <w:sz w:val="20"/>
          <w:szCs w:val="20"/>
        </w:rPr>
        <w:t>vested on the Commission to dispense with Mandatory Offers under certain circumstances have also been introduced. The Code also provides for the establishment of a Takeover Panel to decide on complicated issues that may arise in relation to Company Takeovers and Mergers in the future; and recognizes Compliance Auditors that will primarily ensure</w:t>
      </w:r>
      <w:r w:rsidR="004A6124">
        <w:rPr>
          <w:rFonts w:ascii="Tahoma" w:eastAsia="Calibri" w:hAnsi="Tahoma" w:cs="Tahoma"/>
          <w:sz w:val="20"/>
          <w:szCs w:val="20"/>
        </w:rPr>
        <w:t xml:space="preserve"> that</w:t>
      </w:r>
      <w:r w:rsidR="00131002">
        <w:rPr>
          <w:rFonts w:ascii="Tahoma" w:eastAsia="Calibri" w:hAnsi="Tahoma" w:cs="Tahoma"/>
          <w:sz w:val="20"/>
          <w:szCs w:val="20"/>
        </w:rPr>
        <w:t xml:space="preserve"> parties to a takeover will comply with the Code.</w:t>
      </w:r>
    </w:p>
    <w:p w:rsidR="00B554DE" w:rsidRDefault="00B554DE" w:rsidP="00CE4363">
      <w:pPr>
        <w:spacing w:before="120" w:after="12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The Code has been prepared by a team of Lawyers under the </w:t>
      </w:r>
      <w:r w:rsidR="00131002">
        <w:rPr>
          <w:rFonts w:ascii="Tahoma" w:eastAsia="Calibri" w:hAnsi="Tahoma" w:cs="Tahoma"/>
          <w:sz w:val="20"/>
          <w:szCs w:val="20"/>
        </w:rPr>
        <w:t>leadership</w:t>
      </w:r>
      <w:r>
        <w:rPr>
          <w:rFonts w:ascii="Tahoma" w:eastAsia="Calibri" w:hAnsi="Tahoma" w:cs="Tahoma"/>
          <w:sz w:val="20"/>
          <w:szCs w:val="20"/>
        </w:rPr>
        <w:t xml:space="preserve"> and direction of Justice Saleem Marsoof, Honorable Judge of the Supreme Court after several consultations with stakeholders and foreign</w:t>
      </w:r>
      <w:r w:rsidR="00131002">
        <w:rPr>
          <w:rFonts w:ascii="Tahoma" w:eastAsia="Calibri" w:hAnsi="Tahoma" w:cs="Tahoma"/>
          <w:sz w:val="20"/>
          <w:szCs w:val="20"/>
        </w:rPr>
        <w:t xml:space="preserve"> regulators.</w:t>
      </w:r>
      <w:r>
        <w:rPr>
          <w:rFonts w:ascii="Tahoma" w:eastAsia="Calibri" w:hAnsi="Tahoma" w:cs="Tahoma"/>
          <w:sz w:val="20"/>
          <w:szCs w:val="20"/>
        </w:rPr>
        <w:t xml:space="preserve">  </w:t>
      </w:r>
    </w:p>
    <w:p w:rsidR="00131002" w:rsidRDefault="00131002" w:rsidP="00CE4363">
      <w:pPr>
        <w:spacing w:before="120" w:after="12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This consultation will be the final consultation prior to gazetteing </w:t>
      </w:r>
      <w:r w:rsidR="004A6124">
        <w:rPr>
          <w:rFonts w:ascii="Tahoma" w:eastAsia="Calibri" w:hAnsi="Tahoma" w:cs="Tahoma"/>
          <w:sz w:val="20"/>
          <w:szCs w:val="20"/>
        </w:rPr>
        <w:t xml:space="preserve">of </w:t>
      </w:r>
      <w:r>
        <w:rPr>
          <w:rFonts w:ascii="Tahoma" w:eastAsia="Calibri" w:hAnsi="Tahoma" w:cs="Tahoma"/>
          <w:sz w:val="20"/>
          <w:szCs w:val="20"/>
        </w:rPr>
        <w:t>the Code.</w:t>
      </w:r>
    </w:p>
    <w:p w:rsidR="00A1569A" w:rsidRDefault="00A1569A" w:rsidP="00CE4363">
      <w:pPr>
        <w:spacing w:before="120" w:after="12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You may download the aforementioned document by accessing the Official Website of the SEC (www.sec.gov.lk).</w:t>
      </w:r>
    </w:p>
    <w:p w:rsidR="00131002" w:rsidRDefault="00131002" w:rsidP="00F06046">
      <w:pPr>
        <w:spacing w:after="0"/>
        <w:jc w:val="both"/>
        <w:rPr>
          <w:b/>
          <w:bCs/>
          <w:sz w:val="4"/>
          <w:szCs w:val="4"/>
        </w:rPr>
      </w:pPr>
    </w:p>
    <w:p w:rsidR="00131002" w:rsidRDefault="00131002" w:rsidP="00F06046">
      <w:pPr>
        <w:spacing w:after="0"/>
        <w:jc w:val="both"/>
        <w:rPr>
          <w:b/>
          <w:bCs/>
          <w:sz w:val="4"/>
          <w:szCs w:val="4"/>
        </w:rPr>
      </w:pPr>
    </w:p>
    <w:p w:rsidR="00A7033F" w:rsidRPr="00A7033F" w:rsidRDefault="00A7033F" w:rsidP="00F06046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A7033F">
        <w:rPr>
          <w:rFonts w:ascii="Tahoma" w:hAnsi="Tahoma" w:cs="Tahoma"/>
          <w:b/>
          <w:bCs/>
          <w:sz w:val="20"/>
          <w:szCs w:val="20"/>
        </w:rPr>
        <w:t>Disclaimer:</w:t>
      </w:r>
    </w:p>
    <w:p w:rsidR="00A7033F" w:rsidRPr="00F1558D" w:rsidRDefault="00A7033F" w:rsidP="00F06046">
      <w:pPr>
        <w:spacing w:after="0"/>
        <w:jc w:val="both"/>
        <w:rPr>
          <w:rFonts w:ascii="Tahoma" w:hAnsi="Tahoma" w:cs="Tahoma"/>
          <w:b/>
          <w:bCs/>
          <w:sz w:val="10"/>
          <w:szCs w:val="10"/>
        </w:rPr>
      </w:pPr>
    </w:p>
    <w:p w:rsidR="00A7033F" w:rsidRPr="003C4622" w:rsidRDefault="00A7033F" w:rsidP="003C4622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3C4622">
        <w:rPr>
          <w:rFonts w:ascii="Tahoma" w:eastAsia="Calibri" w:hAnsi="Tahoma" w:cs="Tahoma"/>
          <w:sz w:val="20"/>
          <w:szCs w:val="20"/>
        </w:rPr>
        <w:t>The contents of this paper do not constitute legal advice. The finalized rules relating to</w:t>
      </w:r>
      <w:r w:rsidR="00B554DE">
        <w:rPr>
          <w:rFonts w:ascii="Tahoma" w:eastAsia="Calibri" w:hAnsi="Tahoma" w:cs="Tahoma"/>
          <w:sz w:val="20"/>
          <w:szCs w:val="20"/>
        </w:rPr>
        <w:t xml:space="preserve"> Takeovers and Mergers</w:t>
      </w:r>
      <w:r w:rsidRPr="003C4622">
        <w:rPr>
          <w:rFonts w:ascii="Tahoma" w:eastAsia="Calibri" w:hAnsi="Tahoma" w:cs="Tahoma"/>
          <w:sz w:val="20"/>
          <w:szCs w:val="20"/>
        </w:rPr>
        <w:t xml:space="preserve"> may change from what is proposed herein consequent to the </w:t>
      </w:r>
      <w:r w:rsidR="00B554DE">
        <w:rPr>
          <w:rFonts w:ascii="Tahoma" w:eastAsia="Calibri" w:hAnsi="Tahoma" w:cs="Tahoma"/>
          <w:sz w:val="20"/>
          <w:szCs w:val="20"/>
        </w:rPr>
        <w:t xml:space="preserve">comments we receive </w:t>
      </w:r>
      <w:r w:rsidRPr="003C4622">
        <w:rPr>
          <w:rFonts w:ascii="Tahoma" w:eastAsia="Calibri" w:hAnsi="Tahoma" w:cs="Tahoma"/>
          <w:sz w:val="20"/>
          <w:szCs w:val="20"/>
        </w:rPr>
        <w:t>or due to any other reason, as determined by the SEC to be appropriate.</w:t>
      </w:r>
    </w:p>
    <w:p w:rsidR="00A7033F" w:rsidRPr="00F1558D" w:rsidRDefault="00A7033F" w:rsidP="00F06046">
      <w:pPr>
        <w:spacing w:after="0"/>
        <w:jc w:val="both"/>
        <w:rPr>
          <w:rFonts w:ascii="Tahoma" w:hAnsi="Tahoma" w:cs="Tahoma"/>
          <w:sz w:val="10"/>
          <w:szCs w:val="10"/>
        </w:rPr>
      </w:pPr>
    </w:p>
    <w:p w:rsidR="00A7033F" w:rsidRPr="00A7033F" w:rsidRDefault="00A7033F" w:rsidP="00F06046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A7033F">
        <w:rPr>
          <w:rFonts w:ascii="Tahoma" w:hAnsi="Tahoma" w:cs="Tahoma"/>
          <w:b/>
          <w:bCs/>
          <w:sz w:val="20"/>
          <w:szCs w:val="20"/>
        </w:rPr>
        <w:t>Comments Received:</w:t>
      </w:r>
    </w:p>
    <w:p w:rsidR="00A7033F" w:rsidRPr="00F1558D" w:rsidRDefault="00A7033F" w:rsidP="00F06046">
      <w:pPr>
        <w:spacing w:after="0"/>
        <w:jc w:val="both"/>
        <w:rPr>
          <w:rFonts w:ascii="Tahoma" w:hAnsi="Tahoma" w:cs="Tahoma"/>
          <w:b/>
          <w:bCs/>
          <w:sz w:val="10"/>
          <w:szCs w:val="10"/>
        </w:rPr>
      </w:pPr>
    </w:p>
    <w:p w:rsidR="002862DA" w:rsidRDefault="00A7033F" w:rsidP="00F0604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A7033F">
        <w:rPr>
          <w:rFonts w:ascii="Tahoma" w:hAnsi="Tahoma" w:cs="Tahoma"/>
          <w:sz w:val="20"/>
          <w:szCs w:val="20"/>
        </w:rPr>
        <w:t>The comments received would be subject to consideration by the SEC and will not be treated as confidential unless a special request is made in this respect.</w:t>
      </w:r>
      <w:r w:rsidR="007939C0">
        <w:rPr>
          <w:rFonts w:ascii="Tahoma" w:hAnsi="Tahoma" w:cs="Tahoma"/>
          <w:sz w:val="20"/>
          <w:szCs w:val="20"/>
        </w:rPr>
        <w:t xml:space="preserve"> </w:t>
      </w:r>
      <w:r w:rsidRPr="00A7033F">
        <w:rPr>
          <w:rFonts w:ascii="Tahoma" w:hAnsi="Tahoma" w:cs="Tahoma"/>
          <w:sz w:val="20"/>
          <w:szCs w:val="20"/>
        </w:rPr>
        <w:t xml:space="preserve">The SEC may consider convening consultative meetings as a further step depending on </w:t>
      </w:r>
      <w:r w:rsidR="004D64A9">
        <w:rPr>
          <w:rFonts w:ascii="Tahoma" w:hAnsi="Tahoma" w:cs="Tahoma"/>
          <w:sz w:val="20"/>
          <w:szCs w:val="20"/>
        </w:rPr>
        <w:t>the discretion of the Commission</w:t>
      </w:r>
      <w:r w:rsidRPr="00A7033F">
        <w:rPr>
          <w:rFonts w:ascii="Tahoma" w:hAnsi="Tahoma" w:cs="Tahoma"/>
          <w:sz w:val="20"/>
          <w:szCs w:val="20"/>
        </w:rPr>
        <w:t>.</w:t>
      </w:r>
      <w:r w:rsidR="0069783E">
        <w:rPr>
          <w:rFonts w:ascii="Tahoma" w:hAnsi="Tahoma" w:cs="Tahoma"/>
          <w:sz w:val="20"/>
          <w:szCs w:val="20"/>
        </w:rPr>
        <w:t xml:space="preserve"> </w:t>
      </w:r>
      <w:r w:rsidR="002862DA" w:rsidRPr="00CB663F">
        <w:rPr>
          <w:rFonts w:ascii="Tahoma" w:hAnsi="Tahoma" w:cs="Tahoma"/>
          <w:sz w:val="20"/>
          <w:szCs w:val="20"/>
        </w:rPr>
        <w:t xml:space="preserve">Please send in your comments </w:t>
      </w:r>
      <w:r w:rsidR="004D64A9">
        <w:rPr>
          <w:rFonts w:ascii="Tahoma" w:hAnsi="Tahoma" w:cs="Tahoma"/>
          <w:sz w:val="20"/>
          <w:szCs w:val="20"/>
        </w:rPr>
        <w:t>under</w:t>
      </w:r>
      <w:r w:rsidR="002862DA" w:rsidRPr="00CB663F">
        <w:rPr>
          <w:rFonts w:ascii="Tahoma" w:hAnsi="Tahoma" w:cs="Tahoma"/>
          <w:sz w:val="20"/>
          <w:szCs w:val="20"/>
        </w:rPr>
        <w:t xml:space="preserve"> the title </w:t>
      </w:r>
      <w:r w:rsidR="002862DA" w:rsidRPr="00F06046">
        <w:rPr>
          <w:rFonts w:ascii="Tahoma" w:hAnsi="Tahoma" w:cs="Tahoma"/>
          <w:b/>
          <w:bCs/>
          <w:sz w:val="20"/>
          <w:szCs w:val="20"/>
        </w:rPr>
        <w:t>“</w:t>
      </w:r>
      <w:r w:rsidR="00131002">
        <w:rPr>
          <w:rFonts w:ascii="Tahoma" w:hAnsi="Tahoma" w:cs="Tahoma"/>
          <w:b/>
          <w:bCs/>
          <w:sz w:val="20"/>
          <w:szCs w:val="20"/>
        </w:rPr>
        <w:t>New Takeovers and Mergers Code”</w:t>
      </w:r>
      <w:r w:rsidR="0077276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41860">
        <w:rPr>
          <w:rFonts w:ascii="Tahoma" w:hAnsi="Tahoma" w:cs="Tahoma"/>
          <w:sz w:val="20"/>
          <w:szCs w:val="20"/>
          <w:u w:val="single"/>
        </w:rPr>
        <w:t>on or before the 05</w:t>
      </w:r>
      <w:r w:rsidR="00541860" w:rsidRPr="00541860">
        <w:rPr>
          <w:rFonts w:ascii="Tahoma" w:hAnsi="Tahoma" w:cs="Tahoma"/>
          <w:sz w:val="20"/>
          <w:szCs w:val="20"/>
          <w:u w:val="single"/>
          <w:vertAlign w:val="superscript"/>
        </w:rPr>
        <w:t>th</w:t>
      </w:r>
      <w:r w:rsidR="00541860">
        <w:rPr>
          <w:rFonts w:ascii="Tahoma" w:hAnsi="Tahoma" w:cs="Tahoma"/>
          <w:sz w:val="20"/>
          <w:szCs w:val="20"/>
          <w:u w:val="single"/>
        </w:rPr>
        <w:t xml:space="preserve"> February 201</w:t>
      </w:r>
      <w:r w:rsidR="002F09EB">
        <w:rPr>
          <w:rFonts w:ascii="Tahoma" w:hAnsi="Tahoma" w:cs="Tahoma"/>
          <w:sz w:val="20"/>
          <w:szCs w:val="20"/>
          <w:u w:val="single"/>
        </w:rPr>
        <w:t>5</w:t>
      </w:r>
      <w:r w:rsidR="0077276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31002" w:rsidRPr="00131002">
        <w:rPr>
          <w:rFonts w:ascii="Tahoma" w:hAnsi="Tahoma" w:cs="Tahoma"/>
          <w:sz w:val="20"/>
          <w:szCs w:val="20"/>
        </w:rPr>
        <w:t xml:space="preserve">by </w:t>
      </w:r>
      <w:r w:rsidR="00131002">
        <w:rPr>
          <w:rFonts w:ascii="Tahoma" w:hAnsi="Tahoma" w:cs="Tahoma"/>
          <w:sz w:val="20"/>
          <w:szCs w:val="20"/>
        </w:rPr>
        <w:t>registered post or e-</w:t>
      </w:r>
      <w:r w:rsidR="002862DA" w:rsidRPr="00CB663F">
        <w:rPr>
          <w:rFonts w:ascii="Tahoma" w:hAnsi="Tahoma" w:cs="Tahoma"/>
          <w:sz w:val="20"/>
          <w:szCs w:val="20"/>
        </w:rPr>
        <w:t>mail or fax to:</w:t>
      </w:r>
    </w:p>
    <w:p w:rsidR="00F06046" w:rsidRPr="00CB663F" w:rsidRDefault="00F06046" w:rsidP="00F06046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22F45" w:rsidRPr="00C90A99" w:rsidRDefault="00522F45" w:rsidP="00522F45">
      <w:pPr>
        <w:spacing w:after="0"/>
        <w:jc w:val="both"/>
        <w:rPr>
          <w:rFonts w:ascii="Tahoma" w:hAnsi="Tahoma" w:cs="Tahoma"/>
          <w:sz w:val="2"/>
          <w:szCs w:val="2"/>
        </w:rPr>
      </w:pPr>
    </w:p>
    <w:p w:rsidR="00522F45" w:rsidRDefault="00131002" w:rsidP="00522F45">
      <w:pPr>
        <w:spacing w:after="0"/>
        <w:ind w:right="-153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Mrs. Ayanthi Abeyawickrama</w:t>
      </w:r>
    </w:p>
    <w:p w:rsidR="002862DA" w:rsidRPr="00522F45" w:rsidRDefault="002862DA" w:rsidP="00522F45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522F45">
        <w:rPr>
          <w:rFonts w:ascii="Tahoma" w:hAnsi="Tahoma" w:cs="Tahoma"/>
          <w:b/>
          <w:bCs/>
          <w:sz w:val="20"/>
          <w:szCs w:val="20"/>
        </w:rPr>
        <w:t xml:space="preserve">Director </w:t>
      </w:r>
      <w:r w:rsidR="00131002">
        <w:rPr>
          <w:rFonts w:ascii="Tahoma" w:hAnsi="Tahoma" w:cs="Tahoma"/>
          <w:b/>
          <w:bCs/>
          <w:sz w:val="20"/>
          <w:szCs w:val="20"/>
        </w:rPr>
        <w:t>Legal &amp; Enforcement</w:t>
      </w:r>
    </w:p>
    <w:p w:rsidR="002862DA" w:rsidRPr="00CB663F" w:rsidRDefault="002862DA" w:rsidP="008C594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B663F">
        <w:rPr>
          <w:rFonts w:ascii="Tahoma" w:hAnsi="Tahoma" w:cs="Tahoma"/>
          <w:sz w:val="20"/>
          <w:szCs w:val="20"/>
        </w:rPr>
        <w:t>Securities and Exchange Commission of Sri Lanka</w:t>
      </w:r>
    </w:p>
    <w:p w:rsidR="002862DA" w:rsidRPr="00CB663F" w:rsidRDefault="002862DA" w:rsidP="008C594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B663F">
        <w:rPr>
          <w:rFonts w:ascii="Tahoma" w:hAnsi="Tahoma" w:cs="Tahoma"/>
          <w:sz w:val="20"/>
          <w:szCs w:val="20"/>
        </w:rPr>
        <w:t>Level 28, East Tower,</w:t>
      </w:r>
    </w:p>
    <w:p w:rsidR="002862DA" w:rsidRPr="00CB663F" w:rsidRDefault="002862DA" w:rsidP="008C594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B663F">
        <w:rPr>
          <w:rFonts w:ascii="Tahoma" w:hAnsi="Tahoma" w:cs="Tahoma"/>
          <w:sz w:val="20"/>
          <w:szCs w:val="20"/>
        </w:rPr>
        <w:t>World Trade Centre,</w:t>
      </w:r>
    </w:p>
    <w:p w:rsidR="002862DA" w:rsidRDefault="002862DA" w:rsidP="008C594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B663F">
        <w:rPr>
          <w:rFonts w:ascii="Tahoma" w:hAnsi="Tahoma" w:cs="Tahoma"/>
          <w:sz w:val="20"/>
          <w:szCs w:val="20"/>
        </w:rPr>
        <w:t>Echelon Square,</w:t>
      </w:r>
      <w:r w:rsidR="00F1558D">
        <w:rPr>
          <w:rFonts w:ascii="Tahoma" w:hAnsi="Tahoma" w:cs="Tahoma"/>
          <w:sz w:val="20"/>
          <w:szCs w:val="20"/>
        </w:rPr>
        <w:t xml:space="preserve"> </w:t>
      </w:r>
      <w:r w:rsidRPr="00CB663F">
        <w:rPr>
          <w:rFonts w:ascii="Tahoma" w:hAnsi="Tahoma" w:cs="Tahoma"/>
          <w:sz w:val="20"/>
          <w:szCs w:val="20"/>
        </w:rPr>
        <w:t>Colombo 01.</w:t>
      </w:r>
    </w:p>
    <w:p w:rsidR="002862DA" w:rsidRDefault="002862DA" w:rsidP="002862DA">
      <w:pPr>
        <w:spacing w:before="120" w:after="240"/>
        <w:jc w:val="both"/>
      </w:pPr>
      <w:r w:rsidRPr="006614E8">
        <w:rPr>
          <w:rFonts w:ascii="Tahoma" w:hAnsi="Tahoma" w:cs="Tahoma"/>
          <w:b/>
          <w:bCs/>
          <w:sz w:val="20"/>
          <w:szCs w:val="20"/>
        </w:rPr>
        <w:t xml:space="preserve">E – mail: </w:t>
      </w:r>
      <w:hyperlink r:id="rId10" w:history="1">
        <w:r w:rsidR="00131002" w:rsidRPr="00131002">
          <w:rPr>
            <w:rStyle w:val="Hyperlink"/>
            <w:rFonts w:ascii="Tahoma" w:hAnsi="Tahoma" w:cs="Tahoma"/>
            <w:b/>
            <w:bCs/>
            <w:sz w:val="20"/>
            <w:szCs w:val="20"/>
          </w:rPr>
          <w:t>ayanthi@sec.gov.lk</w:t>
        </w:r>
      </w:hyperlink>
      <w:r w:rsidR="00131002" w:rsidRPr="00131002">
        <w:rPr>
          <w:rFonts w:ascii="Tahoma" w:hAnsi="Tahoma" w:cs="Tahoma"/>
        </w:rPr>
        <w:t xml:space="preserve"> or </w:t>
      </w:r>
      <w:r w:rsidR="00131002" w:rsidRPr="00131002">
        <w:rPr>
          <w:rFonts w:ascii="Tahoma" w:hAnsi="Tahoma" w:cs="Tahoma"/>
          <w:b/>
          <w:bCs/>
          <w:color w:val="0000FF"/>
          <w:u w:val="single"/>
        </w:rPr>
        <w:t>niroshika@sec.gov.lk</w:t>
      </w:r>
    </w:p>
    <w:p w:rsidR="002862DA" w:rsidRPr="006614E8" w:rsidRDefault="002862DA" w:rsidP="002862DA">
      <w:pPr>
        <w:spacing w:before="120" w:after="240"/>
        <w:jc w:val="both"/>
        <w:rPr>
          <w:rFonts w:ascii="Tahoma" w:hAnsi="Tahoma" w:cs="Tahoma"/>
          <w:b/>
          <w:bCs/>
          <w:sz w:val="20"/>
          <w:szCs w:val="20"/>
        </w:rPr>
      </w:pPr>
      <w:r w:rsidRPr="006614E8">
        <w:rPr>
          <w:rFonts w:ascii="Tahoma" w:hAnsi="Tahoma" w:cs="Tahoma"/>
          <w:b/>
          <w:bCs/>
          <w:sz w:val="20"/>
          <w:szCs w:val="20"/>
        </w:rPr>
        <w:t>Fax: 011 2439149</w:t>
      </w:r>
    </w:p>
    <w:p w:rsidR="002862DA" w:rsidRDefault="002862DA" w:rsidP="004D64A9">
      <w:pPr>
        <w:pStyle w:val="Heading1"/>
        <w:rPr>
          <w:rFonts w:ascii="Cambria-Bold" w:hAnsi="Cambria-Bold" w:cs="Cambria-Bold"/>
          <w:b w:val="0"/>
          <w:bCs w:val="0"/>
          <w:color w:val="4F83BE"/>
          <w:sz w:val="16"/>
          <w:szCs w:val="16"/>
          <w:lang w:bidi="ta-IN"/>
        </w:rPr>
      </w:pPr>
    </w:p>
    <w:p w:rsidR="00586644" w:rsidRDefault="00586644" w:rsidP="00586644">
      <w:pPr>
        <w:rPr>
          <w:lang w:bidi="ta-IN"/>
        </w:rPr>
      </w:pPr>
    </w:p>
    <w:p w:rsidR="00586644" w:rsidRPr="00586644" w:rsidRDefault="00586644" w:rsidP="00586644">
      <w:pPr>
        <w:jc w:val="right"/>
        <w:rPr>
          <w:b/>
          <w:bCs/>
          <w:lang w:bidi="ta-IN"/>
        </w:rPr>
      </w:pPr>
      <w:r w:rsidRPr="00586644">
        <w:rPr>
          <w:b/>
          <w:bCs/>
          <w:lang w:bidi="ta-IN"/>
        </w:rPr>
        <w:t>Date: 31</w:t>
      </w:r>
      <w:r w:rsidRPr="00586644">
        <w:rPr>
          <w:b/>
          <w:bCs/>
          <w:vertAlign w:val="superscript"/>
          <w:lang w:bidi="ta-IN"/>
        </w:rPr>
        <w:t>st</w:t>
      </w:r>
      <w:r w:rsidRPr="00586644">
        <w:rPr>
          <w:b/>
          <w:bCs/>
          <w:lang w:bidi="ta-IN"/>
        </w:rPr>
        <w:t xml:space="preserve"> December 2014</w:t>
      </w:r>
    </w:p>
    <w:sectPr w:rsidR="00586644" w:rsidRPr="00586644" w:rsidSect="00D7671C">
      <w:headerReference w:type="default" r:id="rId11"/>
      <w:footerReference w:type="default" r:id="rId12"/>
      <w:pgSz w:w="11907" w:h="16839" w:code="9"/>
      <w:pgMar w:top="1080" w:right="1296" w:bottom="259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D10" w:rsidRDefault="00907D10" w:rsidP="00383BA8">
      <w:pPr>
        <w:spacing w:after="0" w:line="240" w:lineRule="auto"/>
      </w:pPr>
      <w:r>
        <w:separator/>
      </w:r>
    </w:p>
  </w:endnote>
  <w:endnote w:type="continuationSeparator" w:id="1">
    <w:p w:rsidR="00907D10" w:rsidRDefault="00907D10" w:rsidP="0038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lassGarmnd BT">
    <w:altName w:val="ClassGarmnd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F6" w:rsidRDefault="009D40DD">
    <w:pPr>
      <w:pStyle w:val="Footer"/>
      <w:rPr>
        <w:b/>
        <w:bCs/>
        <w:i/>
        <w:iCs/>
        <w:sz w:val="20"/>
        <w:szCs w:val="20"/>
      </w:rPr>
    </w:pPr>
    <w:r>
      <w:rPr>
        <w:b/>
        <w:bCs/>
        <w:i/>
        <w:iCs/>
        <w:noProof/>
        <w:sz w:val="20"/>
        <w:szCs w:val="20"/>
        <w:lang w:bidi="ta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.4pt;margin-top:8.95pt;width:449.25pt;height:0;z-index:251658240" o:connectortype="straight"/>
      </w:pict>
    </w:r>
  </w:p>
  <w:p w:rsidR="00383BA8" w:rsidRPr="007A16F6" w:rsidRDefault="007A16F6">
    <w:pPr>
      <w:pStyle w:val="Footer"/>
      <w:rPr>
        <w:b/>
        <w:bCs/>
        <w:i/>
        <w:iCs/>
        <w:sz w:val="20"/>
        <w:szCs w:val="20"/>
      </w:rPr>
    </w:pPr>
    <w:r w:rsidRPr="007A16F6">
      <w:rPr>
        <w:b/>
        <w:bCs/>
        <w:i/>
        <w:iCs/>
        <w:sz w:val="20"/>
        <w:szCs w:val="20"/>
      </w:rPr>
      <w:t xml:space="preserve">Securities and Exchange </w:t>
    </w:r>
    <w:r w:rsidRPr="00345B87">
      <w:rPr>
        <w:b/>
        <w:bCs/>
        <w:i/>
        <w:iCs/>
        <w:sz w:val="20"/>
        <w:szCs w:val="20"/>
      </w:rPr>
      <w:t>Commission of Sri Lanka</w:t>
    </w:r>
    <w:r w:rsidRPr="00345B87">
      <w:rPr>
        <w:sz w:val="20"/>
        <w:szCs w:val="20"/>
      </w:rPr>
      <w:t xml:space="preserve"> </w:t>
    </w:r>
    <w:r w:rsidRPr="00345B87">
      <w:rPr>
        <w:b/>
        <w:bCs/>
        <w:i/>
        <w:iCs/>
        <w:sz w:val="20"/>
        <w:szCs w:val="20"/>
      </w:rPr>
      <w:ptab w:relativeTo="margin" w:alignment="right" w:leader="none"/>
    </w:r>
    <w:r w:rsidR="009F50CC" w:rsidRPr="00345B87">
      <w:rPr>
        <w:b/>
        <w:bCs/>
        <w:i/>
        <w:iCs/>
        <w:sz w:val="20"/>
        <w:szCs w:val="20"/>
      </w:rPr>
      <w:t xml:space="preserve">Consultation Paper </w:t>
    </w:r>
    <w:r w:rsidR="00345B87" w:rsidRPr="00345B87">
      <w:rPr>
        <w:b/>
        <w:bCs/>
        <w:i/>
        <w:iCs/>
        <w:sz w:val="20"/>
        <w:szCs w:val="20"/>
      </w:rPr>
      <w:t>2</w:t>
    </w:r>
    <w:r w:rsidR="00855BA5">
      <w:rPr>
        <w:b/>
        <w:bCs/>
        <w:i/>
        <w:iCs/>
        <w:sz w:val="20"/>
        <w:szCs w:val="20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D10" w:rsidRDefault="00907D10" w:rsidP="00383BA8">
      <w:pPr>
        <w:spacing w:after="0" w:line="240" w:lineRule="auto"/>
      </w:pPr>
      <w:r>
        <w:separator/>
      </w:r>
    </w:p>
  </w:footnote>
  <w:footnote w:type="continuationSeparator" w:id="1">
    <w:p w:rsidR="00907D10" w:rsidRDefault="00907D10" w:rsidP="0038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041" w:type="dxa"/>
      <w:jc w:val="right"/>
      <w:tblInd w:w="-247" w:type="dxa"/>
      <w:tblLook w:val="04A0"/>
    </w:tblPr>
    <w:tblGrid>
      <w:gridCol w:w="3183"/>
      <w:gridCol w:w="858"/>
    </w:tblGrid>
    <w:tr w:rsidR="00EE70C7" w:rsidTr="00B009DC">
      <w:trPr>
        <w:trHeight w:hRule="exact" w:val="443"/>
        <w:jc w:val="right"/>
      </w:trPr>
      <w:tc>
        <w:tcPr>
          <w:tcW w:w="3183" w:type="dxa"/>
          <w:vAlign w:val="center"/>
        </w:tcPr>
        <w:p w:rsidR="00EE70C7" w:rsidRDefault="009D40DD" w:rsidP="00EE70C7">
          <w:pPr>
            <w:pStyle w:val="Header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sdt>
            <w:sdt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alias w:val="Title"/>
              <w:id w:val="23771477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7D68E5">
                <w:rPr>
                  <w:rFonts w:asciiTheme="majorHAnsi" w:eastAsiaTheme="majorEastAsia" w:hAnsiTheme="majorHAnsi" w:cstheme="majorBidi"/>
                  <w:b/>
                  <w:bCs/>
                  <w:i/>
                  <w:iCs/>
                  <w:sz w:val="20"/>
                  <w:szCs w:val="20"/>
                </w:rPr>
                <w:t>DRAFT OF THE NEW TAKEOVERS AND MERGERS CODE-2014</w:t>
              </w:r>
            </w:sdtContent>
          </w:sdt>
        </w:p>
      </w:tc>
      <w:tc>
        <w:tcPr>
          <w:tcW w:w="858" w:type="dxa"/>
          <w:shd w:val="clear" w:color="auto" w:fill="C0504D" w:themeFill="accent2"/>
          <w:vAlign w:val="center"/>
        </w:tcPr>
        <w:p w:rsidR="00EE70C7" w:rsidRPr="00EE70C7" w:rsidRDefault="009D40DD">
          <w:pPr>
            <w:pStyle w:val="Header"/>
            <w:jc w:val="center"/>
            <w:rPr>
              <w:color w:val="FFFFFF" w:themeColor="background1"/>
              <w:sz w:val="20"/>
              <w:szCs w:val="20"/>
            </w:rPr>
          </w:pPr>
          <w:r w:rsidRPr="00EE70C7">
            <w:rPr>
              <w:sz w:val="20"/>
              <w:szCs w:val="20"/>
            </w:rPr>
            <w:fldChar w:fldCharType="begin"/>
          </w:r>
          <w:r w:rsidR="00EE70C7" w:rsidRPr="00EE70C7">
            <w:rPr>
              <w:sz w:val="20"/>
              <w:szCs w:val="20"/>
            </w:rPr>
            <w:instrText xml:space="preserve"> PAGE  \* MERGEFORMAT </w:instrText>
          </w:r>
          <w:r w:rsidRPr="00EE70C7">
            <w:rPr>
              <w:sz w:val="20"/>
              <w:szCs w:val="20"/>
            </w:rPr>
            <w:fldChar w:fldCharType="separate"/>
          </w:r>
          <w:r w:rsidR="002F09EB" w:rsidRPr="002F09EB">
            <w:rPr>
              <w:noProof/>
              <w:color w:val="FFFFFF" w:themeColor="background1"/>
              <w:sz w:val="20"/>
              <w:szCs w:val="20"/>
            </w:rPr>
            <w:t>2</w:t>
          </w:r>
          <w:r w:rsidRPr="00EE70C7">
            <w:rPr>
              <w:sz w:val="20"/>
              <w:szCs w:val="20"/>
            </w:rPr>
            <w:fldChar w:fldCharType="end"/>
          </w:r>
        </w:p>
      </w:tc>
    </w:tr>
  </w:tbl>
  <w:p w:rsidR="00EE70C7" w:rsidRDefault="009D40DD">
    <w:pPr>
      <w:pStyle w:val="Header"/>
    </w:pPr>
    <w:r>
      <w:rPr>
        <w:noProof/>
        <w:lang w:bidi="ta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8.4pt;margin-top:5.6pt;width:462pt;height:0;z-index:251659264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773"/>
    <w:multiLevelType w:val="multilevel"/>
    <w:tmpl w:val="C14AC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">
    <w:nsid w:val="032563B7"/>
    <w:multiLevelType w:val="multilevel"/>
    <w:tmpl w:val="70FACA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0551335F"/>
    <w:multiLevelType w:val="hybridMultilevel"/>
    <w:tmpl w:val="1AA21C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413796"/>
    <w:multiLevelType w:val="hybridMultilevel"/>
    <w:tmpl w:val="8A66D4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AA789E"/>
    <w:multiLevelType w:val="hybridMultilevel"/>
    <w:tmpl w:val="224E56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C7964"/>
    <w:multiLevelType w:val="hybridMultilevel"/>
    <w:tmpl w:val="654EBAE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79A19AB"/>
    <w:multiLevelType w:val="hybridMultilevel"/>
    <w:tmpl w:val="D89C8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FD7988"/>
    <w:multiLevelType w:val="hybridMultilevel"/>
    <w:tmpl w:val="BD981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12FE9"/>
    <w:multiLevelType w:val="hybridMultilevel"/>
    <w:tmpl w:val="BA280A38"/>
    <w:lvl w:ilvl="0" w:tplc="2E98C5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4E0496"/>
    <w:multiLevelType w:val="hybridMultilevel"/>
    <w:tmpl w:val="18D611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8B1C60"/>
    <w:multiLevelType w:val="hybridMultilevel"/>
    <w:tmpl w:val="6E648F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1EC8856">
      <w:start w:val="1"/>
      <w:numFmt w:val="lowerRoman"/>
      <w:lvlText w:val="(%3)"/>
      <w:lvlJc w:val="right"/>
      <w:pPr>
        <w:ind w:left="2160" w:hanging="180"/>
      </w:pPr>
      <w:rPr>
        <w:rFonts w:hint="default"/>
        <w:b w:val="0"/>
        <w:bCs w:val="0"/>
      </w:rPr>
    </w:lvl>
    <w:lvl w:ilvl="3" w:tplc="98BCE8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874D8"/>
    <w:multiLevelType w:val="multilevel"/>
    <w:tmpl w:val="60FE684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2">
    <w:nsid w:val="34C11261"/>
    <w:multiLevelType w:val="multilevel"/>
    <w:tmpl w:val="8056060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3BFD2688"/>
    <w:multiLevelType w:val="multilevel"/>
    <w:tmpl w:val="A58C7E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ascii="Arial" w:hAnsi="Arial" w:cs="Arial" w:hint="default"/>
      </w:rPr>
    </w:lvl>
  </w:abstractNum>
  <w:abstractNum w:abstractNumId="14">
    <w:nsid w:val="3D913171"/>
    <w:multiLevelType w:val="hybridMultilevel"/>
    <w:tmpl w:val="E48C68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362DA"/>
    <w:multiLevelType w:val="multilevel"/>
    <w:tmpl w:val="C14AC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6">
    <w:nsid w:val="3F3A42C5"/>
    <w:multiLevelType w:val="hybridMultilevel"/>
    <w:tmpl w:val="7ED09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421D5"/>
    <w:multiLevelType w:val="hybridMultilevel"/>
    <w:tmpl w:val="91B2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B4CA68">
      <w:numFmt w:val="bullet"/>
      <w:lvlText w:val="-"/>
      <w:lvlJc w:val="left"/>
      <w:pPr>
        <w:ind w:left="3600" w:hanging="360"/>
      </w:pPr>
      <w:rPr>
        <w:rFonts w:ascii="Tahoma" w:eastAsia="Calibri" w:hAnsi="Tahoma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55E8B"/>
    <w:multiLevelType w:val="multilevel"/>
    <w:tmpl w:val="798C95AC"/>
    <w:lvl w:ilvl="0">
      <w:start w:val="1"/>
      <w:numFmt w:val="decimal"/>
      <w:lvlText w:val="%1.0"/>
      <w:lvlJc w:val="left"/>
      <w:pPr>
        <w:ind w:left="720" w:hanging="720"/>
      </w:pPr>
      <w:rPr>
        <w:rFonts w:asciiTheme="majorHAnsi" w:eastAsiaTheme="majorEastAsia" w:hAnsiTheme="majorHAnsi" w:cstheme="majorBidi" w:hint="default"/>
        <w:color w:val="365F91" w:themeColor="accent1" w:themeShade="BF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Theme="majorHAnsi" w:eastAsiaTheme="majorEastAsia" w:hAnsiTheme="majorHAnsi" w:cstheme="majorBidi" w:hint="default"/>
        <w:color w:val="365F91" w:themeColor="accent1" w:themeShade="BF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ajorHAnsi" w:eastAsiaTheme="majorEastAsia" w:hAnsiTheme="majorHAnsi" w:cstheme="majorBidi" w:hint="default"/>
        <w:color w:val="365F91" w:themeColor="accent1" w:themeShade="BF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ajorHAnsi" w:eastAsiaTheme="majorEastAsia" w:hAnsiTheme="majorHAnsi" w:cstheme="majorBidi" w:hint="default"/>
        <w:color w:val="365F91" w:themeColor="accent1" w:themeShade="BF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ajorHAnsi" w:eastAsiaTheme="majorEastAsia" w:hAnsiTheme="majorHAnsi" w:cstheme="majorBidi" w:hint="default"/>
        <w:color w:val="365F91" w:themeColor="accent1" w:themeShade="BF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Theme="majorHAnsi" w:eastAsiaTheme="majorEastAsia" w:hAnsiTheme="majorHAnsi" w:cstheme="majorBidi" w:hint="default"/>
        <w:color w:val="365F91" w:themeColor="accent1" w:themeShade="BF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ajorHAnsi" w:eastAsiaTheme="majorEastAsia" w:hAnsiTheme="majorHAnsi" w:cstheme="majorBidi" w:hint="default"/>
        <w:color w:val="365F91" w:themeColor="accent1" w:themeShade="BF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Theme="majorHAnsi" w:eastAsiaTheme="majorEastAsia" w:hAnsiTheme="majorHAnsi" w:cstheme="majorBidi" w:hint="default"/>
        <w:color w:val="365F91" w:themeColor="accent1" w:themeShade="BF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Theme="majorHAnsi" w:eastAsiaTheme="majorEastAsia" w:hAnsiTheme="majorHAnsi" w:cstheme="majorBidi" w:hint="default"/>
        <w:color w:val="365F91" w:themeColor="accent1" w:themeShade="BF"/>
      </w:rPr>
    </w:lvl>
  </w:abstractNum>
  <w:abstractNum w:abstractNumId="19">
    <w:nsid w:val="414B09B4"/>
    <w:multiLevelType w:val="multilevel"/>
    <w:tmpl w:val="60FE684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0">
    <w:nsid w:val="4842587C"/>
    <w:multiLevelType w:val="hybridMultilevel"/>
    <w:tmpl w:val="8E86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01536"/>
    <w:multiLevelType w:val="hybridMultilevel"/>
    <w:tmpl w:val="BD981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7503B"/>
    <w:multiLevelType w:val="hybridMultilevel"/>
    <w:tmpl w:val="820EED8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FB70BC70">
      <w:start w:val="1"/>
      <w:numFmt w:val="lowerRoman"/>
      <w:lvlText w:val="(%2)"/>
      <w:lvlJc w:val="left"/>
      <w:pPr>
        <w:ind w:left="32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EB372EA"/>
    <w:multiLevelType w:val="hybridMultilevel"/>
    <w:tmpl w:val="B440A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B5EA2"/>
    <w:multiLevelType w:val="hybridMultilevel"/>
    <w:tmpl w:val="8B34C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9786E"/>
    <w:multiLevelType w:val="hybridMultilevel"/>
    <w:tmpl w:val="A8BE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5E0BE3"/>
    <w:multiLevelType w:val="hybridMultilevel"/>
    <w:tmpl w:val="8414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A38F3"/>
    <w:multiLevelType w:val="hybridMultilevel"/>
    <w:tmpl w:val="BD981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E3E4B"/>
    <w:multiLevelType w:val="multilevel"/>
    <w:tmpl w:val="79A6555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>
    <w:nsid w:val="64D049FA"/>
    <w:multiLevelType w:val="hybridMultilevel"/>
    <w:tmpl w:val="807CB3F2"/>
    <w:lvl w:ilvl="0" w:tplc="05F84F2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937717"/>
    <w:multiLevelType w:val="hybridMultilevel"/>
    <w:tmpl w:val="DFB4823C"/>
    <w:lvl w:ilvl="0" w:tplc="B810BF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422B7"/>
    <w:multiLevelType w:val="hybridMultilevel"/>
    <w:tmpl w:val="654EBAE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87C2708"/>
    <w:multiLevelType w:val="hybridMultilevel"/>
    <w:tmpl w:val="2F8A4550"/>
    <w:lvl w:ilvl="0" w:tplc="31EC8856">
      <w:start w:val="1"/>
      <w:numFmt w:val="lowerRoman"/>
      <w:lvlText w:val="(%1)"/>
      <w:lvlJc w:val="right"/>
      <w:pPr>
        <w:ind w:left="2160" w:hanging="18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8175D"/>
    <w:multiLevelType w:val="hybridMultilevel"/>
    <w:tmpl w:val="820EED8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FB70BC70">
      <w:start w:val="1"/>
      <w:numFmt w:val="lowerRoman"/>
      <w:lvlText w:val="(%2)"/>
      <w:lvlJc w:val="left"/>
      <w:pPr>
        <w:ind w:left="32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39B4617"/>
    <w:multiLevelType w:val="hybridMultilevel"/>
    <w:tmpl w:val="52B43BB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794804B8"/>
    <w:multiLevelType w:val="hybridMultilevel"/>
    <w:tmpl w:val="26A6167E"/>
    <w:lvl w:ilvl="0" w:tplc="24D678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E792A"/>
    <w:multiLevelType w:val="hybridMultilevel"/>
    <w:tmpl w:val="BD981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2"/>
  </w:num>
  <w:num w:numId="4">
    <w:abstractNumId w:val="3"/>
  </w:num>
  <w:num w:numId="5">
    <w:abstractNumId w:val="34"/>
  </w:num>
  <w:num w:numId="6">
    <w:abstractNumId w:val="21"/>
  </w:num>
  <w:num w:numId="7">
    <w:abstractNumId w:val="27"/>
  </w:num>
  <w:num w:numId="8">
    <w:abstractNumId w:val="33"/>
  </w:num>
  <w:num w:numId="9">
    <w:abstractNumId w:val="8"/>
  </w:num>
  <w:num w:numId="10">
    <w:abstractNumId w:val="35"/>
  </w:num>
  <w:num w:numId="11">
    <w:abstractNumId w:val="23"/>
  </w:num>
  <w:num w:numId="12">
    <w:abstractNumId w:val="36"/>
  </w:num>
  <w:num w:numId="13">
    <w:abstractNumId w:val="5"/>
  </w:num>
  <w:num w:numId="14">
    <w:abstractNumId w:val="31"/>
  </w:num>
  <w:num w:numId="15">
    <w:abstractNumId w:val="6"/>
  </w:num>
  <w:num w:numId="16">
    <w:abstractNumId w:val="1"/>
  </w:num>
  <w:num w:numId="17">
    <w:abstractNumId w:val="0"/>
  </w:num>
  <w:num w:numId="18">
    <w:abstractNumId w:val="15"/>
  </w:num>
  <w:num w:numId="19">
    <w:abstractNumId w:val="20"/>
  </w:num>
  <w:num w:numId="20">
    <w:abstractNumId w:val="28"/>
  </w:num>
  <w:num w:numId="21">
    <w:abstractNumId w:val="24"/>
  </w:num>
  <w:num w:numId="22">
    <w:abstractNumId w:val="11"/>
  </w:num>
  <w:num w:numId="23">
    <w:abstractNumId w:val="25"/>
  </w:num>
  <w:num w:numId="24">
    <w:abstractNumId w:val="17"/>
  </w:num>
  <w:num w:numId="25">
    <w:abstractNumId w:val="10"/>
  </w:num>
  <w:num w:numId="26">
    <w:abstractNumId w:val="9"/>
  </w:num>
  <w:num w:numId="27">
    <w:abstractNumId w:val="18"/>
  </w:num>
  <w:num w:numId="28">
    <w:abstractNumId w:val="14"/>
  </w:num>
  <w:num w:numId="29">
    <w:abstractNumId w:val="16"/>
  </w:num>
  <w:num w:numId="30">
    <w:abstractNumId w:val="26"/>
  </w:num>
  <w:num w:numId="31">
    <w:abstractNumId w:val="32"/>
  </w:num>
  <w:num w:numId="32">
    <w:abstractNumId w:val="29"/>
  </w:num>
  <w:num w:numId="33">
    <w:abstractNumId w:val="2"/>
  </w:num>
  <w:num w:numId="34">
    <w:abstractNumId w:val="12"/>
  </w:num>
  <w:num w:numId="35">
    <w:abstractNumId w:val="13"/>
  </w:num>
  <w:num w:numId="36">
    <w:abstractNumId w:val="4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6">
      <o:colormenu v:ext="edit" strokecolor="none"/>
    </o:shapedefaults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76301"/>
    <w:rsid w:val="00002941"/>
    <w:rsid w:val="0000411E"/>
    <w:rsid w:val="00004888"/>
    <w:rsid w:val="0000630F"/>
    <w:rsid w:val="00007629"/>
    <w:rsid w:val="0000779C"/>
    <w:rsid w:val="00010227"/>
    <w:rsid w:val="0001310B"/>
    <w:rsid w:val="00013957"/>
    <w:rsid w:val="00014245"/>
    <w:rsid w:val="00020D89"/>
    <w:rsid w:val="00022DF0"/>
    <w:rsid w:val="0002532D"/>
    <w:rsid w:val="000266C7"/>
    <w:rsid w:val="00035064"/>
    <w:rsid w:val="00043BFD"/>
    <w:rsid w:val="00046652"/>
    <w:rsid w:val="0005215B"/>
    <w:rsid w:val="00053BCE"/>
    <w:rsid w:val="00054129"/>
    <w:rsid w:val="0005647F"/>
    <w:rsid w:val="0005779D"/>
    <w:rsid w:val="00066444"/>
    <w:rsid w:val="000713BA"/>
    <w:rsid w:val="00072255"/>
    <w:rsid w:val="00072814"/>
    <w:rsid w:val="000744A0"/>
    <w:rsid w:val="0007465C"/>
    <w:rsid w:val="00076872"/>
    <w:rsid w:val="0007691B"/>
    <w:rsid w:val="00080D13"/>
    <w:rsid w:val="00082BBF"/>
    <w:rsid w:val="0008354D"/>
    <w:rsid w:val="00083AF5"/>
    <w:rsid w:val="0008416F"/>
    <w:rsid w:val="000860BD"/>
    <w:rsid w:val="00091166"/>
    <w:rsid w:val="00092678"/>
    <w:rsid w:val="0009374E"/>
    <w:rsid w:val="00095BAE"/>
    <w:rsid w:val="000A6035"/>
    <w:rsid w:val="000B3C3E"/>
    <w:rsid w:val="000B4EA4"/>
    <w:rsid w:val="000B5197"/>
    <w:rsid w:val="000C3C6C"/>
    <w:rsid w:val="000C47B6"/>
    <w:rsid w:val="000C4E80"/>
    <w:rsid w:val="000C7910"/>
    <w:rsid w:val="000D4FD5"/>
    <w:rsid w:val="000D6845"/>
    <w:rsid w:val="000E4EEB"/>
    <w:rsid w:val="000F110D"/>
    <w:rsid w:val="000F574C"/>
    <w:rsid w:val="001004DB"/>
    <w:rsid w:val="001008F5"/>
    <w:rsid w:val="00102FB8"/>
    <w:rsid w:val="00104041"/>
    <w:rsid w:val="00105E75"/>
    <w:rsid w:val="00111207"/>
    <w:rsid w:val="00112A7A"/>
    <w:rsid w:val="00112E5B"/>
    <w:rsid w:val="0011671D"/>
    <w:rsid w:val="00122829"/>
    <w:rsid w:val="00124532"/>
    <w:rsid w:val="00127F1B"/>
    <w:rsid w:val="001305A6"/>
    <w:rsid w:val="00131002"/>
    <w:rsid w:val="00131190"/>
    <w:rsid w:val="001322C7"/>
    <w:rsid w:val="00134751"/>
    <w:rsid w:val="00136729"/>
    <w:rsid w:val="001367E9"/>
    <w:rsid w:val="00145F84"/>
    <w:rsid w:val="00146560"/>
    <w:rsid w:val="00146D21"/>
    <w:rsid w:val="00147884"/>
    <w:rsid w:val="00151E0B"/>
    <w:rsid w:val="00153293"/>
    <w:rsid w:val="00155699"/>
    <w:rsid w:val="001571B2"/>
    <w:rsid w:val="00164E8C"/>
    <w:rsid w:val="00166D81"/>
    <w:rsid w:val="00176301"/>
    <w:rsid w:val="00182C5E"/>
    <w:rsid w:val="00183E3B"/>
    <w:rsid w:val="00185BE5"/>
    <w:rsid w:val="00186A84"/>
    <w:rsid w:val="001932CC"/>
    <w:rsid w:val="00193987"/>
    <w:rsid w:val="00196681"/>
    <w:rsid w:val="001A2471"/>
    <w:rsid w:val="001A5C66"/>
    <w:rsid w:val="001A7E68"/>
    <w:rsid w:val="001B3358"/>
    <w:rsid w:val="001B4113"/>
    <w:rsid w:val="001B5833"/>
    <w:rsid w:val="001C118F"/>
    <w:rsid w:val="001C1B09"/>
    <w:rsid w:val="001C2D16"/>
    <w:rsid w:val="001C6BB1"/>
    <w:rsid w:val="001C7946"/>
    <w:rsid w:val="001C7D55"/>
    <w:rsid w:val="001C7F33"/>
    <w:rsid w:val="001D2818"/>
    <w:rsid w:val="001D42A2"/>
    <w:rsid w:val="001D554E"/>
    <w:rsid w:val="001D6F4A"/>
    <w:rsid w:val="001D7D80"/>
    <w:rsid w:val="001E0DF1"/>
    <w:rsid w:val="001F140A"/>
    <w:rsid w:val="001F28D9"/>
    <w:rsid w:val="001F290C"/>
    <w:rsid w:val="001F3BB9"/>
    <w:rsid w:val="0020251F"/>
    <w:rsid w:val="00203964"/>
    <w:rsid w:val="0020654F"/>
    <w:rsid w:val="00214FF8"/>
    <w:rsid w:val="0023671D"/>
    <w:rsid w:val="00240E69"/>
    <w:rsid w:val="00241956"/>
    <w:rsid w:val="00241A0A"/>
    <w:rsid w:val="00252E26"/>
    <w:rsid w:val="002549CD"/>
    <w:rsid w:val="0025663E"/>
    <w:rsid w:val="00261640"/>
    <w:rsid w:val="00265E30"/>
    <w:rsid w:val="00273021"/>
    <w:rsid w:val="002735C1"/>
    <w:rsid w:val="00274400"/>
    <w:rsid w:val="00276391"/>
    <w:rsid w:val="0028366F"/>
    <w:rsid w:val="00283940"/>
    <w:rsid w:val="0028398D"/>
    <w:rsid w:val="002862DA"/>
    <w:rsid w:val="00287A78"/>
    <w:rsid w:val="00291132"/>
    <w:rsid w:val="00294E92"/>
    <w:rsid w:val="00296153"/>
    <w:rsid w:val="002A29B2"/>
    <w:rsid w:val="002A5557"/>
    <w:rsid w:val="002A61F7"/>
    <w:rsid w:val="002B6CD1"/>
    <w:rsid w:val="002C0488"/>
    <w:rsid w:val="002D0B0D"/>
    <w:rsid w:val="002D3895"/>
    <w:rsid w:val="002D3A8C"/>
    <w:rsid w:val="002D3A9F"/>
    <w:rsid w:val="002D40D8"/>
    <w:rsid w:val="002D53FB"/>
    <w:rsid w:val="002D762A"/>
    <w:rsid w:val="002E31DB"/>
    <w:rsid w:val="002E527F"/>
    <w:rsid w:val="002F09EB"/>
    <w:rsid w:val="002F38A5"/>
    <w:rsid w:val="002F5156"/>
    <w:rsid w:val="002F5ACF"/>
    <w:rsid w:val="002F7541"/>
    <w:rsid w:val="003024FE"/>
    <w:rsid w:val="00304376"/>
    <w:rsid w:val="00304835"/>
    <w:rsid w:val="00305FB1"/>
    <w:rsid w:val="003108DB"/>
    <w:rsid w:val="003118E2"/>
    <w:rsid w:val="0031203F"/>
    <w:rsid w:val="00313639"/>
    <w:rsid w:val="00313C31"/>
    <w:rsid w:val="00316A1C"/>
    <w:rsid w:val="00316FDD"/>
    <w:rsid w:val="0032289F"/>
    <w:rsid w:val="003320F5"/>
    <w:rsid w:val="00332814"/>
    <w:rsid w:val="00336C90"/>
    <w:rsid w:val="0034354C"/>
    <w:rsid w:val="003449E8"/>
    <w:rsid w:val="00345B87"/>
    <w:rsid w:val="003463EC"/>
    <w:rsid w:val="0034711C"/>
    <w:rsid w:val="00347865"/>
    <w:rsid w:val="003505BC"/>
    <w:rsid w:val="00352EF5"/>
    <w:rsid w:val="0035385A"/>
    <w:rsid w:val="00354750"/>
    <w:rsid w:val="00355092"/>
    <w:rsid w:val="00363095"/>
    <w:rsid w:val="00363218"/>
    <w:rsid w:val="00363304"/>
    <w:rsid w:val="00365365"/>
    <w:rsid w:val="0036562E"/>
    <w:rsid w:val="00372FE3"/>
    <w:rsid w:val="00377703"/>
    <w:rsid w:val="00383BA8"/>
    <w:rsid w:val="0038447C"/>
    <w:rsid w:val="003961B9"/>
    <w:rsid w:val="003A0B0C"/>
    <w:rsid w:val="003A3E95"/>
    <w:rsid w:val="003B02D1"/>
    <w:rsid w:val="003B0EF9"/>
    <w:rsid w:val="003B516B"/>
    <w:rsid w:val="003B6899"/>
    <w:rsid w:val="003B6EC3"/>
    <w:rsid w:val="003C185E"/>
    <w:rsid w:val="003C1FFE"/>
    <w:rsid w:val="003C4622"/>
    <w:rsid w:val="003C5024"/>
    <w:rsid w:val="003C6588"/>
    <w:rsid w:val="003C6785"/>
    <w:rsid w:val="003D0154"/>
    <w:rsid w:val="003D0A8F"/>
    <w:rsid w:val="003D11FB"/>
    <w:rsid w:val="003D3126"/>
    <w:rsid w:val="003D62ED"/>
    <w:rsid w:val="003D686D"/>
    <w:rsid w:val="003E0DC8"/>
    <w:rsid w:val="003E7876"/>
    <w:rsid w:val="003F0DC0"/>
    <w:rsid w:val="003F108A"/>
    <w:rsid w:val="003F2D8F"/>
    <w:rsid w:val="003F3186"/>
    <w:rsid w:val="00400100"/>
    <w:rsid w:val="0040130C"/>
    <w:rsid w:val="00402FFB"/>
    <w:rsid w:val="00403A40"/>
    <w:rsid w:val="0040417B"/>
    <w:rsid w:val="0040602A"/>
    <w:rsid w:val="00407199"/>
    <w:rsid w:val="00410DDC"/>
    <w:rsid w:val="004134D7"/>
    <w:rsid w:val="00413B41"/>
    <w:rsid w:val="00413E9C"/>
    <w:rsid w:val="004154E8"/>
    <w:rsid w:val="00417F36"/>
    <w:rsid w:val="004249EE"/>
    <w:rsid w:val="00425E1C"/>
    <w:rsid w:val="00426C21"/>
    <w:rsid w:val="00430CBD"/>
    <w:rsid w:val="00433471"/>
    <w:rsid w:val="00436BA2"/>
    <w:rsid w:val="00437007"/>
    <w:rsid w:val="00441BB3"/>
    <w:rsid w:val="004430D8"/>
    <w:rsid w:val="00443885"/>
    <w:rsid w:val="00444AD8"/>
    <w:rsid w:val="00445057"/>
    <w:rsid w:val="00445215"/>
    <w:rsid w:val="004503EF"/>
    <w:rsid w:val="00466387"/>
    <w:rsid w:val="00467A69"/>
    <w:rsid w:val="00470240"/>
    <w:rsid w:val="00474072"/>
    <w:rsid w:val="004748A4"/>
    <w:rsid w:val="0048188E"/>
    <w:rsid w:val="0048222A"/>
    <w:rsid w:val="00484DEB"/>
    <w:rsid w:val="00492288"/>
    <w:rsid w:val="0049373D"/>
    <w:rsid w:val="004953F0"/>
    <w:rsid w:val="00497341"/>
    <w:rsid w:val="0049779A"/>
    <w:rsid w:val="004A2021"/>
    <w:rsid w:val="004A6124"/>
    <w:rsid w:val="004B0449"/>
    <w:rsid w:val="004B6E1F"/>
    <w:rsid w:val="004C1C1C"/>
    <w:rsid w:val="004C22F1"/>
    <w:rsid w:val="004C255A"/>
    <w:rsid w:val="004C34BD"/>
    <w:rsid w:val="004C45DF"/>
    <w:rsid w:val="004D3EDF"/>
    <w:rsid w:val="004D513D"/>
    <w:rsid w:val="004D614D"/>
    <w:rsid w:val="004D64A9"/>
    <w:rsid w:val="004D799A"/>
    <w:rsid w:val="004E20F0"/>
    <w:rsid w:val="004E4936"/>
    <w:rsid w:val="004F1643"/>
    <w:rsid w:val="004F3A92"/>
    <w:rsid w:val="004F6B21"/>
    <w:rsid w:val="004F761C"/>
    <w:rsid w:val="005002A5"/>
    <w:rsid w:val="00502033"/>
    <w:rsid w:val="0051417B"/>
    <w:rsid w:val="00515223"/>
    <w:rsid w:val="00515CC3"/>
    <w:rsid w:val="00515E65"/>
    <w:rsid w:val="00516D74"/>
    <w:rsid w:val="00516FD3"/>
    <w:rsid w:val="0052097A"/>
    <w:rsid w:val="00520C3D"/>
    <w:rsid w:val="00522BBA"/>
    <w:rsid w:val="00522F45"/>
    <w:rsid w:val="00523059"/>
    <w:rsid w:val="00531A77"/>
    <w:rsid w:val="005347C1"/>
    <w:rsid w:val="0054130F"/>
    <w:rsid w:val="00541860"/>
    <w:rsid w:val="00554753"/>
    <w:rsid w:val="0056203E"/>
    <w:rsid w:val="00562A0B"/>
    <w:rsid w:val="00562E27"/>
    <w:rsid w:val="005637E1"/>
    <w:rsid w:val="0056449C"/>
    <w:rsid w:val="00567184"/>
    <w:rsid w:val="005674BC"/>
    <w:rsid w:val="005703E7"/>
    <w:rsid w:val="00570623"/>
    <w:rsid w:val="00572C03"/>
    <w:rsid w:val="00575692"/>
    <w:rsid w:val="00576F11"/>
    <w:rsid w:val="00580CF3"/>
    <w:rsid w:val="00580F96"/>
    <w:rsid w:val="0058371B"/>
    <w:rsid w:val="005840B7"/>
    <w:rsid w:val="0058494F"/>
    <w:rsid w:val="00586644"/>
    <w:rsid w:val="00586A63"/>
    <w:rsid w:val="00590485"/>
    <w:rsid w:val="00593220"/>
    <w:rsid w:val="005935CC"/>
    <w:rsid w:val="00594E82"/>
    <w:rsid w:val="005A0A2C"/>
    <w:rsid w:val="005A3E03"/>
    <w:rsid w:val="005A53C0"/>
    <w:rsid w:val="005A5B67"/>
    <w:rsid w:val="005A67D5"/>
    <w:rsid w:val="005A6B03"/>
    <w:rsid w:val="005B3D5D"/>
    <w:rsid w:val="005B4819"/>
    <w:rsid w:val="005B5159"/>
    <w:rsid w:val="005B54C9"/>
    <w:rsid w:val="005C0A96"/>
    <w:rsid w:val="005C55C9"/>
    <w:rsid w:val="005C67A7"/>
    <w:rsid w:val="005D3490"/>
    <w:rsid w:val="005D40B3"/>
    <w:rsid w:val="005D6323"/>
    <w:rsid w:val="005E0E07"/>
    <w:rsid w:val="005E148A"/>
    <w:rsid w:val="005E2473"/>
    <w:rsid w:val="005E2D22"/>
    <w:rsid w:val="005E4B57"/>
    <w:rsid w:val="005E766B"/>
    <w:rsid w:val="005F093A"/>
    <w:rsid w:val="005F128A"/>
    <w:rsid w:val="005F353C"/>
    <w:rsid w:val="005F6A0F"/>
    <w:rsid w:val="005F7365"/>
    <w:rsid w:val="00600233"/>
    <w:rsid w:val="0060230A"/>
    <w:rsid w:val="006026E5"/>
    <w:rsid w:val="00604D7E"/>
    <w:rsid w:val="00604DAA"/>
    <w:rsid w:val="006067E6"/>
    <w:rsid w:val="00606B7C"/>
    <w:rsid w:val="00607D36"/>
    <w:rsid w:val="006133C5"/>
    <w:rsid w:val="006138FF"/>
    <w:rsid w:val="00613A16"/>
    <w:rsid w:val="006205E7"/>
    <w:rsid w:val="00621B91"/>
    <w:rsid w:val="00624898"/>
    <w:rsid w:val="00625DEC"/>
    <w:rsid w:val="00625FEC"/>
    <w:rsid w:val="00626C10"/>
    <w:rsid w:val="00630929"/>
    <w:rsid w:val="00632A0A"/>
    <w:rsid w:val="0063515A"/>
    <w:rsid w:val="00635E97"/>
    <w:rsid w:val="0063657E"/>
    <w:rsid w:val="00642DB5"/>
    <w:rsid w:val="00644799"/>
    <w:rsid w:val="00644EF7"/>
    <w:rsid w:val="00645C22"/>
    <w:rsid w:val="006461AC"/>
    <w:rsid w:val="00646B21"/>
    <w:rsid w:val="00651827"/>
    <w:rsid w:val="00652BAA"/>
    <w:rsid w:val="00654145"/>
    <w:rsid w:val="00654BD3"/>
    <w:rsid w:val="00657146"/>
    <w:rsid w:val="0066496C"/>
    <w:rsid w:val="00673A2A"/>
    <w:rsid w:val="0068081E"/>
    <w:rsid w:val="00680984"/>
    <w:rsid w:val="00681B8D"/>
    <w:rsid w:val="006841F3"/>
    <w:rsid w:val="00686ED0"/>
    <w:rsid w:val="00691EEA"/>
    <w:rsid w:val="00693560"/>
    <w:rsid w:val="0069783E"/>
    <w:rsid w:val="006A1776"/>
    <w:rsid w:val="006A5135"/>
    <w:rsid w:val="006B158F"/>
    <w:rsid w:val="006B2E1A"/>
    <w:rsid w:val="006B6B25"/>
    <w:rsid w:val="006B6FB3"/>
    <w:rsid w:val="006C18D6"/>
    <w:rsid w:val="006C3881"/>
    <w:rsid w:val="006C7B02"/>
    <w:rsid w:val="006D1673"/>
    <w:rsid w:val="006D2A29"/>
    <w:rsid w:val="006E0DA4"/>
    <w:rsid w:val="006E1528"/>
    <w:rsid w:val="006E2735"/>
    <w:rsid w:val="006E307C"/>
    <w:rsid w:val="006E67F4"/>
    <w:rsid w:val="006F54EF"/>
    <w:rsid w:val="006F58FD"/>
    <w:rsid w:val="006F70DC"/>
    <w:rsid w:val="007037F1"/>
    <w:rsid w:val="0070470B"/>
    <w:rsid w:val="0071295B"/>
    <w:rsid w:val="00712C26"/>
    <w:rsid w:val="00714577"/>
    <w:rsid w:val="00717434"/>
    <w:rsid w:val="00724DFE"/>
    <w:rsid w:val="007279C3"/>
    <w:rsid w:val="00737FB5"/>
    <w:rsid w:val="00740E4E"/>
    <w:rsid w:val="007419E1"/>
    <w:rsid w:val="007420B3"/>
    <w:rsid w:val="0074388B"/>
    <w:rsid w:val="007448CD"/>
    <w:rsid w:val="007476FF"/>
    <w:rsid w:val="00751400"/>
    <w:rsid w:val="00752AE4"/>
    <w:rsid w:val="00754454"/>
    <w:rsid w:val="00754C89"/>
    <w:rsid w:val="00760D09"/>
    <w:rsid w:val="00761860"/>
    <w:rsid w:val="007633C5"/>
    <w:rsid w:val="007646E9"/>
    <w:rsid w:val="007676B3"/>
    <w:rsid w:val="00771D63"/>
    <w:rsid w:val="00771E26"/>
    <w:rsid w:val="0077276B"/>
    <w:rsid w:val="00776E80"/>
    <w:rsid w:val="007809C3"/>
    <w:rsid w:val="00785A08"/>
    <w:rsid w:val="00786087"/>
    <w:rsid w:val="00786B54"/>
    <w:rsid w:val="00787326"/>
    <w:rsid w:val="007903AE"/>
    <w:rsid w:val="007934E7"/>
    <w:rsid w:val="007939C0"/>
    <w:rsid w:val="00797E2D"/>
    <w:rsid w:val="007A13D5"/>
    <w:rsid w:val="007A14EF"/>
    <w:rsid w:val="007A16F6"/>
    <w:rsid w:val="007A309D"/>
    <w:rsid w:val="007A4356"/>
    <w:rsid w:val="007A4D62"/>
    <w:rsid w:val="007A78D1"/>
    <w:rsid w:val="007B1F4C"/>
    <w:rsid w:val="007B3D11"/>
    <w:rsid w:val="007B6425"/>
    <w:rsid w:val="007B7E50"/>
    <w:rsid w:val="007C1BC5"/>
    <w:rsid w:val="007C3E26"/>
    <w:rsid w:val="007C4F42"/>
    <w:rsid w:val="007D12AA"/>
    <w:rsid w:val="007D12BD"/>
    <w:rsid w:val="007D21F7"/>
    <w:rsid w:val="007D2FD5"/>
    <w:rsid w:val="007D3D25"/>
    <w:rsid w:val="007D61BD"/>
    <w:rsid w:val="007D640C"/>
    <w:rsid w:val="007D68E5"/>
    <w:rsid w:val="007E1D4C"/>
    <w:rsid w:val="007E2225"/>
    <w:rsid w:val="007F053D"/>
    <w:rsid w:val="007F0B50"/>
    <w:rsid w:val="007F31BA"/>
    <w:rsid w:val="0080240F"/>
    <w:rsid w:val="008027A9"/>
    <w:rsid w:val="0080331A"/>
    <w:rsid w:val="00806735"/>
    <w:rsid w:val="008113CE"/>
    <w:rsid w:val="00812963"/>
    <w:rsid w:val="0081301E"/>
    <w:rsid w:val="00813347"/>
    <w:rsid w:val="00815021"/>
    <w:rsid w:val="00815465"/>
    <w:rsid w:val="00820FCE"/>
    <w:rsid w:val="008212FE"/>
    <w:rsid w:val="00822502"/>
    <w:rsid w:val="008238AB"/>
    <w:rsid w:val="00824E28"/>
    <w:rsid w:val="00834C1C"/>
    <w:rsid w:val="0084248F"/>
    <w:rsid w:val="00842FCE"/>
    <w:rsid w:val="00844710"/>
    <w:rsid w:val="00847846"/>
    <w:rsid w:val="00853200"/>
    <w:rsid w:val="00853EFB"/>
    <w:rsid w:val="00855BA5"/>
    <w:rsid w:val="00856E6F"/>
    <w:rsid w:val="00860EDE"/>
    <w:rsid w:val="00864789"/>
    <w:rsid w:val="00864A0C"/>
    <w:rsid w:val="008709F4"/>
    <w:rsid w:val="008756C4"/>
    <w:rsid w:val="0089073E"/>
    <w:rsid w:val="00891313"/>
    <w:rsid w:val="00891D1A"/>
    <w:rsid w:val="00891E24"/>
    <w:rsid w:val="00892ED0"/>
    <w:rsid w:val="008A0BF6"/>
    <w:rsid w:val="008A0D09"/>
    <w:rsid w:val="008A154A"/>
    <w:rsid w:val="008B3BB7"/>
    <w:rsid w:val="008B7711"/>
    <w:rsid w:val="008C1C8C"/>
    <w:rsid w:val="008C1F51"/>
    <w:rsid w:val="008C34B4"/>
    <w:rsid w:val="008C45BF"/>
    <w:rsid w:val="008C5942"/>
    <w:rsid w:val="008C722C"/>
    <w:rsid w:val="008D043A"/>
    <w:rsid w:val="008D0EC9"/>
    <w:rsid w:val="008D4126"/>
    <w:rsid w:val="008D4D28"/>
    <w:rsid w:val="008D7BA4"/>
    <w:rsid w:val="008E3607"/>
    <w:rsid w:val="008E42F0"/>
    <w:rsid w:val="008E7766"/>
    <w:rsid w:val="008F6401"/>
    <w:rsid w:val="008F7720"/>
    <w:rsid w:val="009014A6"/>
    <w:rsid w:val="009033A1"/>
    <w:rsid w:val="0090638C"/>
    <w:rsid w:val="00907D10"/>
    <w:rsid w:val="00907F97"/>
    <w:rsid w:val="009120E7"/>
    <w:rsid w:val="00912996"/>
    <w:rsid w:val="00917D6D"/>
    <w:rsid w:val="0092002E"/>
    <w:rsid w:val="00924A4B"/>
    <w:rsid w:val="00924DBA"/>
    <w:rsid w:val="009310C2"/>
    <w:rsid w:val="00932279"/>
    <w:rsid w:val="0093598B"/>
    <w:rsid w:val="00937996"/>
    <w:rsid w:val="009465AA"/>
    <w:rsid w:val="00952639"/>
    <w:rsid w:val="009528AA"/>
    <w:rsid w:val="00953647"/>
    <w:rsid w:val="0096026A"/>
    <w:rsid w:val="00960C10"/>
    <w:rsid w:val="0096413E"/>
    <w:rsid w:val="009717BA"/>
    <w:rsid w:val="009717E5"/>
    <w:rsid w:val="0097359D"/>
    <w:rsid w:val="009771E8"/>
    <w:rsid w:val="009830E9"/>
    <w:rsid w:val="0098462C"/>
    <w:rsid w:val="0098480C"/>
    <w:rsid w:val="00992877"/>
    <w:rsid w:val="00996447"/>
    <w:rsid w:val="009968D6"/>
    <w:rsid w:val="009A2321"/>
    <w:rsid w:val="009A453D"/>
    <w:rsid w:val="009A4B03"/>
    <w:rsid w:val="009A6395"/>
    <w:rsid w:val="009B04BD"/>
    <w:rsid w:val="009B3B5A"/>
    <w:rsid w:val="009B4148"/>
    <w:rsid w:val="009B5FAA"/>
    <w:rsid w:val="009C3A35"/>
    <w:rsid w:val="009C3F90"/>
    <w:rsid w:val="009C441D"/>
    <w:rsid w:val="009C5A61"/>
    <w:rsid w:val="009C7433"/>
    <w:rsid w:val="009D40DD"/>
    <w:rsid w:val="009D6257"/>
    <w:rsid w:val="009E4F2A"/>
    <w:rsid w:val="009F167E"/>
    <w:rsid w:val="009F1D71"/>
    <w:rsid w:val="009F2AE9"/>
    <w:rsid w:val="009F50CC"/>
    <w:rsid w:val="009F7222"/>
    <w:rsid w:val="00A011BC"/>
    <w:rsid w:val="00A03520"/>
    <w:rsid w:val="00A05452"/>
    <w:rsid w:val="00A0568F"/>
    <w:rsid w:val="00A0593A"/>
    <w:rsid w:val="00A05B02"/>
    <w:rsid w:val="00A12099"/>
    <w:rsid w:val="00A1318F"/>
    <w:rsid w:val="00A1569A"/>
    <w:rsid w:val="00A16ED1"/>
    <w:rsid w:val="00A17A4A"/>
    <w:rsid w:val="00A224A2"/>
    <w:rsid w:val="00A242DB"/>
    <w:rsid w:val="00A26178"/>
    <w:rsid w:val="00A30C39"/>
    <w:rsid w:val="00A33D80"/>
    <w:rsid w:val="00A37D03"/>
    <w:rsid w:val="00A41260"/>
    <w:rsid w:val="00A42D82"/>
    <w:rsid w:val="00A43785"/>
    <w:rsid w:val="00A4482E"/>
    <w:rsid w:val="00A465EE"/>
    <w:rsid w:val="00A46C92"/>
    <w:rsid w:val="00A6006E"/>
    <w:rsid w:val="00A64386"/>
    <w:rsid w:val="00A64BAE"/>
    <w:rsid w:val="00A7033F"/>
    <w:rsid w:val="00A708D8"/>
    <w:rsid w:val="00A87191"/>
    <w:rsid w:val="00A90D80"/>
    <w:rsid w:val="00A94F06"/>
    <w:rsid w:val="00A958F1"/>
    <w:rsid w:val="00A95E38"/>
    <w:rsid w:val="00A96505"/>
    <w:rsid w:val="00AA2CB4"/>
    <w:rsid w:val="00AA5A54"/>
    <w:rsid w:val="00AB2DE0"/>
    <w:rsid w:val="00AB39F7"/>
    <w:rsid w:val="00AB7F7F"/>
    <w:rsid w:val="00AC2768"/>
    <w:rsid w:val="00AC67CA"/>
    <w:rsid w:val="00AC7461"/>
    <w:rsid w:val="00AD0402"/>
    <w:rsid w:val="00AD614E"/>
    <w:rsid w:val="00AE7A7F"/>
    <w:rsid w:val="00B009DC"/>
    <w:rsid w:val="00B01FAB"/>
    <w:rsid w:val="00B02101"/>
    <w:rsid w:val="00B06596"/>
    <w:rsid w:val="00B077ED"/>
    <w:rsid w:val="00B15C0C"/>
    <w:rsid w:val="00B16FC2"/>
    <w:rsid w:val="00B17189"/>
    <w:rsid w:val="00B23C6C"/>
    <w:rsid w:val="00B3251E"/>
    <w:rsid w:val="00B34DCB"/>
    <w:rsid w:val="00B3600D"/>
    <w:rsid w:val="00B37428"/>
    <w:rsid w:val="00B462A6"/>
    <w:rsid w:val="00B5004D"/>
    <w:rsid w:val="00B50C15"/>
    <w:rsid w:val="00B51F72"/>
    <w:rsid w:val="00B525D8"/>
    <w:rsid w:val="00B554DE"/>
    <w:rsid w:val="00B56F8D"/>
    <w:rsid w:val="00B64059"/>
    <w:rsid w:val="00B64E11"/>
    <w:rsid w:val="00B67050"/>
    <w:rsid w:val="00B709F9"/>
    <w:rsid w:val="00B70EAA"/>
    <w:rsid w:val="00B71357"/>
    <w:rsid w:val="00B83A42"/>
    <w:rsid w:val="00B84F26"/>
    <w:rsid w:val="00B860EC"/>
    <w:rsid w:val="00B90CB5"/>
    <w:rsid w:val="00B9104B"/>
    <w:rsid w:val="00B9489D"/>
    <w:rsid w:val="00B97729"/>
    <w:rsid w:val="00BA0D2D"/>
    <w:rsid w:val="00BA53F4"/>
    <w:rsid w:val="00BB06CB"/>
    <w:rsid w:val="00BB3D77"/>
    <w:rsid w:val="00BC219C"/>
    <w:rsid w:val="00BC2F7D"/>
    <w:rsid w:val="00BC3453"/>
    <w:rsid w:val="00BC7967"/>
    <w:rsid w:val="00BD1B27"/>
    <w:rsid w:val="00BD2DE7"/>
    <w:rsid w:val="00BE11EF"/>
    <w:rsid w:val="00BE31DA"/>
    <w:rsid w:val="00BE3E57"/>
    <w:rsid w:val="00BF07F4"/>
    <w:rsid w:val="00BF147F"/>
    <w:rsid w:val="00BF191D"/>
    <w:rsid w:val="00BF2D8B"/>
    <w:rsid w:val="00BF304C"/>
    <w:rsid w:val="00BF370D"/>
    <w:rsid w:val="00BF5761"/>
    <w:rsid w:val="00BF742E"/>
    <w:rsid w:val="00C00144"/>
    <w:rsid w:val="00C008E2"/>
    <w:rsid w:val="00C022C3"/>
    <w:rsid w:val="00C0683E"/>
    <w:rsid w:val="00C1596D"/>
    <w:rsid w:val="00C175A0"/>
    <w:rsid w:val="00C17BC5"/>
    <w:rsid w:val="00C20420"/>
    <w:rsid w:val="00C227B7"/>
    <w:rsid w:val="00C23697"/>
    <w:rsid w:val="00C310D4"/>
    <w:rsid w:val="00C32378"/>
    <w:rsid w:val="00C32643"/>
    <w:rsid w:val="00C33092"/>
    <w:rsid w:val="00C42919"/>
    <w:rsid w:val="00C46531"/>
    <w:rsid w:val="00C50AE0"/>
    <w:rsid w:val="00C56FA8"/>
    <w:rsid w:val="00C62EF4"/>
    <w:rsid w:val="00C63053"/>
    <w:rsid w:val="00C65D0C"/>
    <w:rsid w:val="00C66C5E"/>
    <w:rsid w:val="00C70DBD"/>
    <w:rsid w:val="00C71FBF"/>
    <w:rsid w:val="00C74CB1"/>
    <w:rsid w:val="00C858E7"/>
    <w:rsid w:val="00C865D0"/>
    <w:rsid w:val="00C90A99"/>
    <w:rsid w:val="00C9320D"/>
    <w:rsid w:val="00C95BC6"/>
    <w:rsid w:val="00CA190C"/>
    <w:rsid w:val="00CA1F24"/>
    <w:rsid w:val="00CA2C45"/>
    <w:rsid w:val="00CA32D2"/>
    <w:rsid w:val="00CA376E"/>
    <w:rsid w:val="00CA49B0"/>
    <w:rsid w:val="00CA4E55"/>
    <w:rsid w:val="00CA5F36"/>
    <w:rsid w:val="00CA63F2"/>
    <w:rsid w:val="00CA640C"/>
    <w:rsid w:val="00CA653F"/>
    <w:rsid w:val="00CA702D"/>
    <w:rsid w:val="00CB0073"/>
    <w:rsid w:val="00CB1468"/>
    <w:rsid w:val="00CB1EB3"/>
    <w:rsid w:val="00CB418F"/>
    <w:rsid w:val="00CB5E9F"/>
    <w:rsid w:val="00CC1CB7"/>
    <w:rsid w:val="00CC2E8E"/>
    <w:rsid w:val="00CC32A9"/>
    <w:rsid w:val="00CC37FD"/>
    <w:rsid w:val="00CD0E70"/>
    <w:rsid w:val="00CD40E5"/>
    <w:rsid w:val="00CE1FA6"/>
    <w:rsid w:val="00CE3113"/>
    <w:rsid w:val="00CE4363"/>
    <w:rsid w:val="00CE70C6"/>
    <w:rsid w:val="00CF0864"/>
    <w:rsid w:val="00CF244E"/>
    <w:rsid w:val="00CF2A6F"/>
    <w:rsid w:val="00CF3A1F"/>
    <w:rsid w:val="00CF5487"/>
    <w:rsid w:val="00CF5D7A"/>
    <w:rsid w:val="00D0049D"/>
    <w:rsid w:val="00D006FB"/>
    <w:rsid w:val="00D0149F"/>
    <w:rsid w:val="00D02501"/>
    <w:rsid w:val="00D03F2B"/>
    <w:rsid w:val="00D0423E"/>
    <w:rsid w:val="00D05BF2"/>
    <w:rsid w:val="00D06EAA"/>
    <w:rsid w:val="00D074E9"/>
    <w:rsid w:val="00D13469"/>
    <w:rsid w:val="00D14D54"/>
    <w:rsid w:val="00D16C0E"/>
    <w:rsid w:val="00D17920"/>
    <w:rsid w:val="00D21334"/>
    <w:rsid w:val="00D2673E"/>
    <w:rsid w:val="00D3171F"/>
    <w:rsid w:val="00D340A2"/>
    <w:rsid w:val="00D34514"/>
    <w:rsid w:val="00D36320"/>
    <w:rsid w:val="00D36A04"/>
    <w:rsid w:val="00D3722C"/>
    <w:rsid w:val="00D40BDE"/>
    <w:rsid w:val="00D42358"/>
    <w:rsid w:val="00D508B7"/>
    <w:rsid w:val="00D52304"/>
    <w:rsid w:val="00D54AC8"/>
    <w:rsid w:val="00D55911"/>
    <w:rsid w:val="00D56027"/>
    <w:rsid w:val="00D637D1"/>
    <w:rsid w:val="00D63AC7"/>
    <w:rsid w:val="00D649D0"/>
    <w:rsid w:val="00D66CBE"/>
    <w:rsid w:val="00D72E42"/>
    <w:rsid w:val="00D731F6"/>
    <w:rsid w:val="00D7671C"/>
    <w:rsid w:val="00D80005"/>
    <w:rsid w:val="00D81456"/>
    <w:rsid w:val="00D8702C"/>
    <w:rsid w:val="00D90153"/>
    <w:rsid w:val="00D93870"/>
    <w:rsid w:val="00D93D0F"/>
    <w:rsid w:val="00D978FB"/>
    <w:rsid w:val="00DA1A1A"/>
    <w:rsid w:val="00DA2BE4"/>
    <w:rsid w:val="00DB1D2F"/>
    <w:rsid w:val="00DB459D"/>
    <w:rsid w:val="00DB4A63"/>
    <w:rsid w:val="00DB58BD"/>
    <w:rsid w:val="00DC2366"/>
    <w:rsid w:val="00DC3618"/>
    <w:rsid w:val="00DC36C0"/>
    <w:rsid w:val="00DC6BC3"/>
    <w:rsid w:val="00DC7401"/>
    <w:rsid w:val="00DD66D1"/>
    <w:rsid w:val="00DE069A"/>
    <w:rsid w:val="00DE0837"/>
    <w:rsid w:val="00DE1422"/>
    <w:rsid w:val="00DE2CC4"/>
    <w:rsid w:val="00DE5121"/>
    <w:rsid w:val="00E007AD"/>
    <w:rsid w:val="00E03CA9"/>
    <w:rsid w:val="00E03DB6"/>
    <w:rsid w:val="00E07CF1"/>
    <w:rsid w:val="00E1223A"/>
    <w:rsid w:val="00E12471"/>
    <w:rsid w:val="00E164BE"/>
    <w:rsid w:val="00E178D0"/>
    <w:rsid w:val="00E215F6"/>
    <w:rsid w:val="00E234EE"/>
    <w:rsid w:val="00E25754"/>
    <w:rsid w:val="00E25A85"/>
    <w:rsid w:val="00E30199"/>
    <w:rsid w:val="00E30F98"/>
    <w:rsid w:val="00E317C9"/>
    <w:rsid w:val="00E31A9A"/>
    <w:rsid w:val="00E33699"/>
    <w:rsid w:val="00E338B4"/>
    <w:rsid w:val="00E34B27"/>
    <w:rsid w:val="00E42EA8"/>
    <w:rsid w:val="00E43FA1"/>
    <w:rsid w:val="00E44D95"/>
    <w:rsid w:val="00E44E35"/>
    <w:rsid w:val="00E44E39"/>
    <w:rsid w:val="00E45AE4"/>
    <w:rsid w:val="00E53609"/>
    <w:rsid w:val="00E540A9"/>
    <w:rsid w:val="00E56543"/>
    <w:rsid w:val="00E624D2"/>
    <w:rsid w:val="00E62D09"/>
    <w:rsid w:val="00E63A0C"/>
    <w:rsid w:val="00E66FC9"/>
    <w:rsid w:val="00E8480C"/>
    <w:rsid w:val="00E8652B"/>
    <w:rsid w:val="00E9126E"/>
    <w:rsid w:val="00E97131"/>
    <w:rsid w:val="00EA05A2"/>
    <w:rsid w:val="00EA438F"/>
    <w:rsid w:val="00EA5F2C"/>
    <w:rsid w:val="00EB11C3"/>
    <w:rsid w:val="00EB6199"/>
    <w:rsid w:val="00ED08AF"/>
    <w:rsid w:val="00ED0966"/>
    <w:rsid w:val="00ED3DF2"/>
    <w:rsid w:val="00ED4E4A"/>
    <w:rsid w:val="00ED577D"/>
    <w:rsid w:val="00ED597B"/>
    <w:rsid w:val="00ED6134"/>
    <w:rsid w:val="00ED639D"/>
    <w:rsid w:val="00ED67C9"/>
    <w:rsid w:val="00EE28E6"/>
    <w:rsid w:val="00EE55DA"/>
    <w:rsid w:val="00EE70C7"/>
    <w:rsid w:val="00EF0DDC"/>
    <w:rsid w:val="00EF33E9"/>
    <w:rsid w:val="00EF34AB"/>
    <w:rsid w:val="00EF5A14"/>
    <w:rsid w:val="00EF5B8C"/>
    <w:rsid w:val="00F00553"/>
    <w:rsid w:val="00F0297A"/>
    <w:rsid w:val="00F03099"/>
    <w:rsid w:val="00F0381B"/>
    <w:rsid w:val="00F06046"/>
    <w:rsid w:val="00F134E5"/>
    <w:rsid w:val="00F14831"/>
    <w:rsid w:val="00F1558D"/>
    <w:rsid w:val="00F155C9"/>
    <w:rsid w:val="00F20673"/>
    <w:rsid w:val="00F21857"/>
    <w:rsid w:val="00F23149"/>
    <w:rsid w:val="00F23A3E"/>
    <w:rsid w:val="00F32109"/>
    <w:rsid w:val="00F365DF"/>
    <w:rsid w:val="00F378DF"/>
    <w:rsid w:val="00F4280D"/>
    <w:rsid w:val="00F462E0"/>
    <w:rsid w:val="00F4662A"/>
    <w:rsid w:val="00F46669"/>
    <w:rsid w:val="00F46FBE"/>
    <w:rsid w:val="00F479B9"/>
    <w:rsid w:val="00F502B3"/>
    <w:rsid w:val="00F5102A"/>
    <w:rsid w:val="00F527A2"/>
    <w:rsid w:val="00F5413E"/>
    <w:rsid w:val="00F54422"/>
    <w:rsid w:val="00F554D2"/>
    <w:rsid w:val="00F57C80"/>
    <w:rsid w:val="00F646ED"/>
    <w:rsid w:val="00F64DBA"/>
    <w:rsid w:val="00F66A30"/>
    <w:rsid w:val="00F66FFC"/>
    <w:rsid w:val="00F6757F"/>
    <w:rsid w:val="00F6785F"/>
    <w:rsid w:val="00F71D32"/>
    <w:rsid w:val="00F74A21"/>
    <w:rsid w:val="00F74D42"/>
    <w:rsid w:val="00F774E1"/>
    <w:rsid w:val="00F80FFF"/>
    <w:rsid w:val="00F84374"/>
    <w:rsid w:val="00F8472D"/>
    <w:rsid w:val="00F855AA"/>
    <w:rsid w:val="00F870BF"/>
    <w:rsid w:val="00F9058E"/>
    <w:rsid w:val="00F91531"/>
    <w:rsid w:val="00F94D93"/>
    <w:rsid w:val="00F95CA8"/>
    <w:rsid w:val="00F95FF9"/>
    <w:rsid w:val="00FA2C6C"/>
    <w:rsid w:val="00FA54FC"/>
    <w:rsid w:val="00FA7F03"/>
    <w:rsid w:val="00FB0849"/>
    <w:rsid w:val="00FB3715"/>
    <w:rsid w:val="00FB4BE3"/>
    <w:rsid w:val="00FB54C0"/>
    <w:rsid w:val="00FB54ED"/>
    <w:rsid w:val="00FB7162"/>
    <w:rsid w:val="00FC4ED1"/>
    <w:rsid w:val="00FC647A"/>
    <w:rsid w:val="00FE530E"/>
    <w:rsid w:val="00FE5724"/>
    <w:rsid w:val="00FE58AA"/>
    <w:rsid w:val="00FE7C03"/>
    <w:rsid w:val="00FF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FD"/>
  </w:style>
  <w:style w:type="paragraph" w:styleId="Heading1">
    <w:name w:val="heading 1"/>
    <w:basedOn w:val="Normal"/>
    <w:next w:val="Normal"/>
    <w:link w:val="Heading1Char"/>
    <w:uiPriority w:val="9"/>
    <w:qFormat/>
    <w:rsid w:val="00176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3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75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6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76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6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D62E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664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64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ED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3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A8"/>
  </w:style>
  <w:style w:type="paragraph" w:styleId="Footer">
    <w:name w:val="footer"/>
    <w:basedOn w:val="Normal"/>
    <w:link w:val="FooterChar"/>
    <w:uiPriority w:val="99"/>
    <w:semiHidden/>
    <w:unhideWhenUsed/>
    <w:rsid w:val="00383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BA8"/>
  </w:style>
  <w:style w:type="paragraph" w:customStyle="1" w:styleId="Default">
    <w:name w:val="Default"/>
    <w:rsid w:val="0038447C"/>
    <w:pPr>
      <w:autoSpaceDE w:val="0"/>
      <w:autoSpaceDN w:val="0"/>
      <w:adjustRightInd w:val="0"/>
      <w:spacing w:after="0" w:line="240" w:lineRule="auto"/>
    </w:pPr>
    <w:rPr>
      <w:rFonts w:ascii="ClassGarmnd BT" w:hAnsi="ClassGarmnd BT" w:cs="ClassGarmnd BT"/>
      <w:color w:val="000000"/>
      <w:sz w:val="24"/>
      <w:szCs w:val="24"/>
      <w:lang w:bidi="ta-IN"/>
    </w:rPr>
  </w:style>
  <w:style w:type="character" w:styleId="Hyperlink">
    <w:name w:val="Hyperlink"/>
    <w:basedOn w:val="DefaultParagraphFont"/>
    <w:uiPriority w:val="99"/>
    <w:unhideWhenUsed/>
    <w:rsid w:val="00516F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6F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4DA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E2735"/>
    <w:pPr>
      <w:tabs>
        <w:tab w:val="left" w:pos="660"/>
        <w:tab w:val="right" w:leader="dot" w:pos="8873"/>
      </w:tabs>
      <w:spacing w:after="100"/>
      <w:ind w:left="630" w:hanging="630"/>
    </w:pPr>
  </w:style>
  <w:style w:type="paragraph" w:styleId="TOC2">
    <w:name w:val="toc 2"/>
    <w:basedOn w:val="Normal"/>
    <w:next w:val="Normal"/>
    <w:autoRedefine/>
    <w:uiPriority w:val="39"/>
    <w:unhideWhenUsed/>
    <w:rsid w:val="00604DAA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unhideWhenUsed/>
    <w:rsid w:val="005F12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2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128A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2F75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8B3BB7"/>
    <w:pPr>
      <w:spacing w:after="100"/>
      <w:ind w:left="440"/>
    </w:pPr>
  </w:style>
  <w:style w:type="paragraph" w:styleId="NoSpacing">
    <w:name w:val="No Spacing"/>
    <w:link w:val="NoSpacingChar"/>
    <w:uiPriority w:val="1"/>
    <w:qFormat/>
    <w:rsid w:val="005B54C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B54C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yanthi@sec.gov.l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2012-09-17T00:00:00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21B36B-4697-4375-80BE-444B114B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BASIS OF OFFER PRICE OF AN IPO FOR EQUITY </vt:lpstr>
    </vt:vector>
  </TitlesOfParts>
  <Company>  Consultation Paper 24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OF THE NEW TAKEOVERS AND MERGERS CODE-2014</dc:title>
  <dc:subject> December  2014</dc:subject>
  <dc:creator>Securities and Exchange Commission of Sri Lanka Level 28 &amp; 29, East Tower, World Trade CenterEchelon SquareColombo 01.</dc:creator>
  <cp:lastModifiedBy>niroshika</cp:lastModifiedBy>
  <cp:revision>10</cp:revision>
  <cp:lastPrinted>2014-12-29T06:27:00Z</cp:lastPrinted>
  <dcterms:created xsi:type="dcterms:W3CDTF">2014-12-29T06:27:00Z</dcterms:created>
  <dcterms:modified xsi:type="dcterms:W3CDTF">2014-12-31T06:57:00Z</dcterms:modified>
</cp:coreProperties>
</file>