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D7EE5" w14:textId="51A5161B" w:rsidR="005E65B5" w:rsidRPr="003918AE" w:rsidRDefault="005E65B5" w:rsidP="003918AE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3918AE">
        <w:rPr>
          <w:rFonts w:ascii="Tahoma" w:hAnsi="Tahoma" w:cs="Tahoma"/>
          <w:b/>
          <w:bCs/>
          <w:sz w:val="20"/>
          <w:szCs w:val="20"/>
        </w:rPr>
        <w:t xml:space="preserve">GRANT OF LICENCE AS A </w:t>
      </w:r>
      <w:r w:rsidR="00AB490C" w:rsidRPr="003918AE">
        <w:rPr>
          <w:rFonts w:ascii="Tahoma" w:hAnsi="Tahoma" w:cs="Tahoma"/>
          <w:b/>
          <w:bCs/>
          <w:sz w:val="20"/>
          <w:szCs w:val="20"/>
        </w:rPr>
        <w:t>CENTRAL DEPOSITORY</w:t>
      </w:r>
    </w:p>
    <w:p w14:paraId="3DB0DF8A" w14:textId="77777777" w:rsidR="002872FA" w:rsidRPr="003918AE" w:rsidRDefault="002872FA" w:rsidP="003918AE">
      <w:pPr>
        <w:spacing w:after="0" w:line="288" w:lineRule="auto"/>
        <w:rPr>
          <w:rFonts w:ascii="Tahoma" w:hAnsi="Tahoma" w:cs="Tahoma"/>
          <w:sz w:val="20"/>
          <w:szCs w:val="20"/>
          <w:u w:val="single"/>
        </w:rPr>
      </w:pPr>
    </w:p>
    <w:p w14:paraId="37CA7D27" w14:textId="649EDDD3" w:rsidR="00915F3C" w:rsidRPr="003918AE" w:rsidRDefault="007A4988" w:rsidP="003918AE">
      <w:pPr>
        <w:spacing w:after="0" w:line="288" w:lineRule="auto"/>
        <w:rPr>
          <w:rFonts w:ascii="Tahoma" w:hAnsi="Tahoma" w:cs="Tahoma"/>
          <w:sz w:val="20"/>
          <w:szCs w:val="20"/>
          <w:u w:val="single"/>
        </w:rPr>
      </w:pPr>
      <w:r w:rsidRPr="003918AE">
        <w:rPr>
          <w:rFonts w:ascii="Tahoma" w:hAnsi="Tahoma" w:cs="Tahoma"/>
          <w:sz w:val="20"/>
          <w:szCs w:val="20"/>
          <w:u w:val="single"/>
        </w:rPr>
        <w:t>LIST OF DOCUMENTS TO BE SUBMITTED FOR FINAL APPROVAL</w:t>
      </w:r>
    </w:p>
    <w:p w14:paraId="6E300414" w14:textId="77777777" w:rsidR="00D53720" w:rsidRPr="003918AE" w:rsidRDefault="00D53720" w:rsidP="003918AE">
      <w:pPr>
        <w:spacing w:after="0" w:line="288" w:lineRule="auto"/>
        <w:rPr>
          <w:rFonts w:ascii="Tahoma" w:hAnsi="Tahoma" w:cs="Tahoma"/>
          <w:sz w:val="20"/>
          <w:szCs w:val="20"/>
        </w:rPr>
      </w:pPr>
    </w:p>
    <w:p w14:paraId="431954F9" w14:textId="59DC2484" w:rsidR="00D53720" w:rsidRPr="003918AE" w:rsidRDefault="00D53720" w:rsidP="003918AE">
      <w:pPr>
        <w:pStyle w:val="Default"/>
        <w:numPr>
          <w:ilvl w:val="0"/>
          <w:numId w:val="4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3918AE">
        <w:rPr>
          <w:rFonts w:ascii="Tahoma" w:hAnsi="Tahoma" w:cs="Tahoma"/>
          <w:color w:val="auto"/>
          <w:sz w:val="20"/>
          <w:szCs w:val="20"/>
        </w:rPr>
        <w:t xml:space="preserve">Not later than six (6) months from the date of obtaining in-principle approval, the Applicant is required to submit following documents in order to obtain the licence as a </w:t>
      </w:r>
      <w:r w:rsidR="005B39DA" w:rsidRPr="003918AE">
        <w:rPr>
          <w:rFonts w:ascii="Tahoma" w:hAnsi="Tahoma" w:cs="Tahoma"/>
          <w:color w:val="auto"/>
          <w:sz w:val="20"/>
          <w:szCs w:val="20"/>
        </w:rPr>
        <w:t>Central Depository</w:t>
      </w:r>
      <w:r w:rsidRPr="003918AE">
        <w:rPr>
          <w:rFonts w:ascii="Tahoma" w:hAnsi="Tahoma" w:cs="Tahoma"/>
          <w:color w:val="auto"/>
          <w:sz w:val="20"/>
          <w:szCs w:val="20"/>
        </w:rPr>
        <w:t>:</w:t>
      </w:r>
    </w:p>
    <w:p w14:paraId="3DDDA8E7" w14:textId="77777777" w:rsidR="00D53720" w:rsidRPr="003918AE" w:rsidRDefault="00D53720" w:rsidP="003918AE">
      <w:pPr>
        <w:pStyle w:val="Default"/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7BA57497" w14:textId="7AB3899A" w:rsidR="00A309AD" w:rsidRPr="003918AE" w:rsidRDefault="0092347C" w:rsidP="003918AE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3918AE">
        <w:rPr>
          <w:rFonts w:ascii="Tahoma" w:hAnsi="Tahoma" w:cs="Tahoma"/>
          <w:color w:val="auto"/>
          <w:sz w:val="20"/>
          <w:szCs w:val="20"/>
        </w:rPr>
        <w:t>Declarations</w:t>
      </w:r>
      <w:r w:rsidR="00D53720" w:rsidRPr="003918AE">
        <w:rPr>
          <w:rFonts w:ascii="Tahoma" w:hAnsi="Tahoma" w:cs="Tahoma"/>
          <w:color w:val="auto"/>
          <w:sz w:val="20"/>
          <w:szCs w:val="20"/>
        </w:rPr>
        <w:t xml:space="preserve"> by Key Management Persons relating to their fitness and propriety. Such declaration </w:t>
      </w:r>
      <w:r w:rsidR="00385182" w:rsidRPr="003918AE">
        <w:rPr>
          <w:rFonts w:ascii="Tahoma" w:hAnsi="Tahoma" w:cs="Tahoma"/>
          <w:color w:val="auto"/>
          <w:sz w:val="20"/>
          <w:szCs w:val="20"/>
        </w:rPr>
        <w:t>should</w:t>
      </w:r>
      <w:r w:rsidR="00D53720" w:rsidRPr="003918AE">
        <w:rPr>
          <w:rFonts w:ascii="Tahoma" w:hAnsi="Tahoma" w:cs="Tahoma"/>
          <w:color w:val="auto"/>
          <w:sz w:val="20"/>
          <w:szCs w:val="20"/>
        </w:rPr>
        <w:t xml:space="preserve"> be in the form of an affidavit </w:t>
      </w:r>
      <w:r w:rsidR="00EC4E5C" w:rsidRPr="003918AE">
        <w:rPr>
          <w:rFonts w:ascii="Tahoma" w:hAnsi="Tahoma" w:cs="Tahoma"/>
          <w:color w:val="auto"/>
          <w:sz w:val="20"/>
          <w:szCs w:val="20"/>
        </w:rPr>
        <w:t>as per</w:t>
      </w:r>
      <w:r w:rsidR="00385182" w:rsidRPr="003918AE">
        <w:rPr>
          <w:rFonts w:ascii="Tahoma" w:hAnsi="Tahoma" w:cs="Tahoma"/>
          <w:color w:val="auto"/>
          <w:sz w:val="20"/>
          <w:szCs w:val="20"/>
        </w:rPr>
        <w:t xml:space="preserve"> the</w:t>
      </w:r>
      <w:r w:rsidR="00D53720" w:rsidRPr="003918AE">
        <w:rPr>
          <w:rFonts w:ascii="Tahoma" w:hAnsi="Tahoma" w:cs="Tahoma"/>
          <w:color w:val="auto"/>
          <w:sz w:val="20"/>
          <w:szCs w:val="20"/>
        </w:rPr>
        <w:t xml:space="preserve"> specimen provided in Schedule III in the Rules</w:t>
      </w:r>
      <w:r w:rsidR="00385182" w:rsidRPr="003918AE">
        <w:rPr>
          <w:rFonts w:ascii="Tahoma" w:hAnsi="Tahoma" w:cs="Tahoma"/>
          <w:color w:val="auto"/>
          <w:sz w:val="20"/>
          <w:szCs w:val="20"/>
        </w:rPr>
        <w:t xml:space="preserve"> applicable to </w:t>
      </w:r>
      <w:r w:rsidR="00600266" w:rsidRPr="003918AE">
        <w:rPr>
          <w:rFonts w:ascii="Tahoma" w:hAnsi="Tahoma" w:cs="Tahoma"/>
          <w:color w:val="auto"/>
          <w:sz w:val="20"/>
          <w:szCs w:val="20"/>
        </w:rPr>
        <w:t>a Central Depository</w:t>
      </w:r>
      <w:r w:rsidR="00FC3AB4" w:rsidRPr="003918AE">
        <w:rPr>
          <w:rFonts w:ascii="Tahoma" w:hAnsi="Tahoma" w:cs="Tahoma"/>
          <w:color w:val="auto"/>
          <w:sz w:val="20"/>
          <w:szCs w:val="20"/>
        </w:rPr>
        <w:t>.</w:t>
      </w:r>
      <w:r w:rsidR="00D53720" w:rsidRPr="003918AE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1576BA6C" w14:textId="77777777" w:rsidR="00A309AD" w:rsidRPr="003918AE" w:rsidRDefault="00A309AD" w:rsidP="003918AE">
      <w:pPr>
        <w:pStyle w:val="Default"/>
        <w:spacing w:line="288" w:lineRule="auto"/>
        <w:ind w:left="72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31C11C22" w14:textId="196CB9A8" w:rsidR="00EE74B1" w:rsidRPr="003918AE" w:rsidRDefault="006B456C" w:rsidP="003918AE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3918AE">
        <w:rPr>
          <w:rFonts w:ascii="Tahoma" w:hAnsi="Tahoma" w:cs="Tahoma"/>
          <w:color w:val="auto"/>
          <w:sz w:val="20"/>
          <w:szCs w:val="20"/>
        </w:rPr>
        <w:t>A confirmation from the chief executive o</w:t>
      </w:r>
      <w:r w:rsidR="00DD2EEB" w:rsidRPr="003918AE">
        <w:rPr>
          <w:rFonts w:ascii="Tahoma" w:hAnsi="Tahoma" w:cs="Tahoma"/>
          <w:color w:val="auto"/>
          <w:sz w:val="20"/>
          <w:szCs w:val="20"/>
        </w:rPr>
        <w:t xml:space="preserve">fficer and a director </w:t>
      </w:r>
      <w:r w:rsidR="001B7FF1" w:rsidRPr="003918AE">
        <w:rPr>
          <w:rFonts w:ascii="Tahoma" w:hAnsi="Tahoma" w:cs="Tahoma"/>
          <w:color w:val="auto"/>
          <w:sz w:val="20"/>
          <w:szCs w:val="20"/>
        </w:rPr>
        <w:t xml:space="preserve">of the Applicant </w:t>
      </w:r>
      <w:r w:rsidR="00DD2EEB" w:rsidRPr="003918AE">
        <w:rPr>
          <w:rFonts w:ascii="Tahoma" w:hAnsi="Tahoma" w:cs="Tahoma"/>
          <w:color w:val="auto"/>
          <w:sz w:val="20"/>
          <w:szCs w:val="20"/>
        </w:rPr>
        <w:t>that the A</w:t>
      </w:r>
      <w:r w:rsidRPr="003918AE">
        <w:rPr>
          <w:rFonts w:ascii="Tahoma" w:hAnsi="Tahoma" w:cs="Tahoma"/>
          <w:color w:val="auto"/>
          <w:sz w:val="20"/>
          <w:szCs w:val="20"/>
        </w:rPr>
        <w:t xml:space="preserve">pplicant </w:t>
      </w:r>
      <w:r w:rsidR="00EE74B1" w:rsidRPr="003918AE">
        <w:rPr>
          <w:rFonts w:ascii="Tahoma" w:hAnsi="Tahoma" w:cs="Tahoma"/>
          <w:color w:val="auto"/>
          <w:sz w:val="20"/>
          <w:szCs w:val="20"/>
        </w:rPr>
        <w:t>meets</w:t>
      </w:r>
      <w:r w:rsidR="008434F6" w:rsidRPr="003918AE">
        <w:rPr>
          <w:rFonts w:ascii="Tahoma" w:hAnsi="Tahoma" w:cs="Tahoma"/>
          <w:color w:val="auto"/>
          <w:sz w:val="20"/>
          <w:szCs w:val="20"/>
        </w:rPr>
        <w:t xml:space="preserve"> the following requirements </w:t>
      </w:r>
      <w:r w:rsidR="008434F6" w:rsidRPr="003918AE">
        <w:rPr>
          <w:rFonts w:ascii="Tahoma" w:hAnsi="Tahoma" w:cs="Tahoma"/>
          <w:sz w:val="20"/>
          <w:szCs w:val="20"/>
        </w:rPr>
        <w:t xml:space="preserve">as applicable to </w:t>
      </w:r>
      <w:r w:rsidR="008434F6" w:rsidRPr="003918AE">
        <w:rPr>
          <w:rFonts w:ascii="Tahoma" w:hAnsi="Tahoma" w:cs="Tahoma"/>
          <w:color w:val="auto"/>
          <w:sz w:val="20"/>
          <w:szCs w:val="20"/>
        </w:rPr>
        <w:t>a</w:t>
      </w:r>
      <w:r w:rsidR="008434F6" w:rsidRPr="003918AE">
        <w:rPr>
          <w:rFonts w:ascii="Tahoma" w:hAnsi="Tahoma" w:cs="Tahoma"/>
          <w:sz w:val="20"/>
          <w:szCs w:val="20"/>
        </w:rPr>
        <w:t xml:space="preserve"> Central Depository</w:t>
      </w:r>
      <w:r w:rsidR="00A76BDD" w:rsidRPr="003918AE">
        <w:rPr>
          <w:rFonts w:ascii="Tahoma" w:hAnsi="Tahoma" w:cs="Tahoma"/>
          <w:sz w:val="20"/>
          <w:szCs w:val="20"/>
        </w:rPr>
        <w:t>;</w:t>
      </w:r>
    </w:p>
    <w:p w14:paraId="58610EFB" w14:textId="77777777" w:rsidR="00EE74B1" w:rsidRPr="003918AE" w:rsidRDefault="00EE74B1" w:rsidP="003918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rPr>
          <w:rFonts w:ascii="Tahoma" w:hAnsi="Tahoma" w:cs="Tahoma"/>
          <w:color w:val="000000"/>
          <w:sz w:val="20"/>
          <w:szCs w:val="20"/>
        </w:rPr>
      </w:pPr>
      <w:r w:rsidRPr="003918AE">
        <w:rPr>
          <w:rFonts w:ascii="Tahoma" w:hAnsi="Tahoma" w:cs="Tahoma"/>
          <w:color w:val="000000"/>
          <w:sz w:val="20"/>
          <w:szCs w:val="20"/>
        </w:rPr>
        <w:t xml:space="preserve">the minimum Shareholders’ Funds as determined by the Commission; and </w:t>
      </w:r>
    </w:p>
    <w:p w14:paraId="1E88A0BB" w14:textId="5435AC37" w:rsidR="00EE74B1" w:rsidRPr="003918AE" w:rsidRDefault="00EE74B1" w:rsidP="003918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rPr>
          <w:rFonts w:ascii="Tahoma" w:hAnsi="Tahoma" w:cs="Tahoma"/>
          <w:color w:val="000000"/>
          <w:sz w:val="20"/>
          <w:szCs w:val="20"/>
        </w:rPr>
      </w:pPr>
      <w:r w:rsidRPr="003918AE">
        <w:rPr>
          <w:rFonts w:ascii="Tahoma" w:hAnsi="Tahoma" w:cs="Tahoma"/>
          <w:color w:val="000000"/>
          <w:sz w:val="20"/>
          <w:szCs w:val="20"/>
        </w:rPr>
        <w:t>minimum Liquid Assets as determined by the Commission</w:t>
      </w:r>
      <w:r w:rsidR="00AF373D" w:rsidRPr="003918AE">
        <w:rPr>
          <w:rFonts w:ascii="Tahoma" w:hAnsi="Tahoma" w:cs="Tahoma"/>
          <w:color w:val="000000"/>
          <w:sz w:val="20"/>
          <w:szCs w:val="20"/>
        </w:rPr>
        <w:t>.</w:t>
      </w:r>
      <w:r w:rsidRPr="003918A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342B908" w14:textId="77777777" w:rsidR="00EE74B1" w:rsidRPr="003918AE" w:rsidRDefault="00EE74B1" w:rsidP="003918AE">
      <w:pPr>
        <w:pStyle w:val="ListParagraph"/>
        <w:spacing w:after="0" w:line="288" w:lineRule="auto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14:paraId="1E4F6DF8" w14:textId="655E3233" w:rsidR="00982FDC" w:rsidRPr="003918AE" w:rsidRDefault="00982FDC" w:rsidP="003918AE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3918AE">
        <w:rPr>
          <w:rFonts w:ascii="Tahoma" w:hAnsi="Tahoma" w:cs="Tahoma"/>
          <w:color w:val="auto"/>
          <w:sz w:val="20"/>
          <w:szCs w:val="20"/>
        </w:rPr>
        <w:t xml:space="preserve">A confirmation from the chief executive officer and a director </w:t>
      </w:r>
      <w:r w:rsidR="00F160E1" w:rsidRPr="003918AE">
        <w:rPr>
          <w:rFonts w:ascii="Tahoma" w:hAnsi="Tahoma" w:cs="Tahoma"/>
          <w:color w:val="auto"/>
          <w:sz w:val="20"/>
          <w:szCs w:val="20"/>
        </w:rPr>
        <w:t xml:space="preserve">of the </w:t>
      </w:r>
      <w:r w:rsidR="00F160E1" w:rsidRPr="003918AE">
        <w:rPr>
          <w:rFonts w:ascii="Tahoma" w:eastAsia="Times New Roman" w:hAnsi="Tahoma" w:cs="Tahoma"/>
          <w:color w:val="000000" w:themeColor="text1"/>
          <w:sz w:val="20"/>
          <w:szCs w:val="20"/>
        </w:rPr>
        <w:t>Applicant</w:t>
      </w:r>
      <w:r w:rsidR="00F160E1" w:rsidRPr="003918A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918AE">
        <w:rPr>
          <w:rFonts w:ascii="Tahoma" w:hAnsi="Tahoma" w:cs="Tahoma"/>
          <w:color w:val="auto"/>
          <w:sz w:val="20"/>
          <w:szCs w:val="20"/>
        </w:rPr>
        <w:t>of the establishment of a system that will enable the maintenance of securities in a scrip-less form and the ability to maintain data entries electronically as stated in Rule 20</w:t>
      </w:r>
      <w:r w:rsidR="00F9428D" w:rsidRPr="003918AE">
        <w:rPr>
          <w:rFonts w:ascii="Tahoma" w:hAnsi="Tahoma" w:cs="Tahoma"/>
          <w:color w:val="auto"/>
          <w:sz w:val="20"/>
          <w:szCs w:val="20"/>
        </w:rPr>
        <w:t xml:space="preserve"> of the Rules applicable to a Central Depository</w:t>
      </w:r>
      <w:r w:rsidR="006341D6" w:rsidRPr="003918AE">
        <w:rPr>
          <w:rFonts w:ascii="Tahoma" w:hAnsi="Tahoma" w:cs="Tahoma"/>
          <w:color w:val="auto"/>
          <w:sz w:val="20"/>
          <w:szCs w:val="20"/>
        </w:rPr>
        <w:t>;</w:t>
      </w:r>
    </w:p>
    <w:p w14:paraId="683A7777" w14:textId="77777777" w:rsidR="00982FDC" w:rsidRPr="003918AE" w:rsidRDefault="00982FDC" w:rsidP="003918AE">
      <w:pPr>
        <w:pStyle w:val="ListParagraph"/>
        <w:spacing w:after="0" w:line="288" w:lineRule="auto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14:paraId="06DA7490" w14:textId="09411AE0" w:rsidR="00B377AB" w:rsidRPr="003918AE" w:rsidRDefault="00397A74" w:rsidP="003918AE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3918AE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A </w:t>
      </w:r>
      <w:r w:rsidR="00B03330" w:rsidRPr="003918AE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confirmation from the chief executive officer and a director </w:t>
      </w:r>
      <w:r w:rsidR="00F160E1" w:rsidRPr="003918AE">
        <w:rPr>
          <w:rFonts w:ascii="Tahoma" w:hAnsi="Tahoma" w:cs="Tahoma"/>
          <w:color w:val="auto"/>
          <w:sz w:val="20"/>
          <w:szCs w:val="20"/>
        </w:rPr>
        <w:t xml:space="preserve">of the </w:t>
      </w:r>
      <w:r w:rsidR="00F160E1" w:rsidRPr="003918AE">
        <w:rPr>
          <w:rFonts w:ascii="Tahoma" w:eastAsia="Times New Roman" w:hAnsi="Tahoma" w:cs="Tahoma"/>
          <w:color w:val="000000" w:themeColor="text1"/>
          <w:sz w:val="20"/>
          <w:szCs w:val="20"/>
        </w:rPr>
        <w:t>Applicant</w:t>
      </w:r>
      <w:r w:rsidR="00F160E1" w:rsidRPr="003918AE">
        <w:rPr>
          <w:rFonts w:ascii="Tahoma" w:hAnsi="Tahoma" w:cs="Tahoma"/>
          <w:color w:val="auto"/>
          <w:sz w:val="20"/>
          <w:szCs w:val="20"/>
        </w:rPr>
        <w:t xml:space="preserve"> </w:t>
      </w:r>
      <w:r w:rsidR="00B03330" w:rsidRPr="003918AE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of the recruitment of adequate human resources, particularly the officers stated in Rule 37 </w:t>
      </w:r>
      <w:r w:rsidR="009B68FD" w:rsidRPr="003918AE">
        <w:rPr>
          <w:rFonts w:ascii="Tahoma" w:hAnsi="Tahoma" w:cs="Tahoma"/>
          <w:color w:val="auto"/>
          <w:sz w:val="20"/>
          <w:szCs w:val="20"/>
        </w:rPr>
        <w:t>of the Rules applicable to a Central Depository,</w:t>
      </w:r>
      <w:r w:rsidR="009B68FD" w:rsidRPr="003918AE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="00B03330" w:rsidRPr="003918AE">
        <w:rPr>
          <w:rFonts w:ascii="Tahoma" w:eastAsia="Times New Roman" w:hAnsi="Tahoma" w:cs="Tahoma"/>
          <w:color w:val="000000" w:themeColor="text1"/>
          <w:sz w:val="20"/>
          <w:szCs w:val="20"/>
        </w:rPr>
        <w:t>along with their names and designations</w:t>
      </w:r>
      <w:r w:rsidR="006341D6" w:rsidRPr="003918AE">
        <w:rPr>
          <w:rFonts w:ascii="Tahoma" w:eastAsia="Times New Roman" w:hAnsi="Tahoma" w:cs="Tahoma"/>
          <w:color w:val="000000" w:themeColor="text1"/>
          <w:sz w:val="20"/>
          <w:szCs w:val="20"/>
        </w:rPr>
        <w:t>;</w:t>
      </w:r>
    </w:p>
    <w:p w14:paraId="05B67C0D" w14:textId="77777777" w:rsidR="00B377AB" w:rsidRPr="003918AE" w:rsidRDefault="00B377AB" w:rsidP="003918AE">
      <w:pPr>
        <w:pStyle w:val="ListParagraph"/>
        <w:spacing w:after="0" w:line="288" w:lineRule="auto"/>
        <w:rPr>
          <w:rFonts w:ascii="Tahoma" w:hAnsi="Tahoma" w:cs="Tahoma"/>
          <w:sz w:val="20"/>
          <w:szCs w:val="20"/>
        </w:rPr>
      </w:pPr>
    </w:p>
    <w:p w14:paraId="0C73CCCF" w14:textId="7E741C31" w:rsidR="002A1ECF" w:rsidRPr="003918AE" w:rsidRDefault="002A1CFD" w:rsidP="003918AE">
      <w:pPr>
        <w:pStyle w:val="Default"/>
        <w:numPr>
          <w:ilvl w:val="0"/>
          <w:numId w:val="3"/>
        </w:numPr>
        <w:spacing w:line="288" w:lineRule="auto"/>
        <w:contextualSpacing/>
        <w:rPr>
          <w:rFonts w:ascii="Tahoma" w:hAnsi="Tahoma" w:cs="Tahoma"/>
          <w:color w:val="auto"/>
          <w:sz w:val="20"/>
          <w:szCs w:val="20"/>
        </w:rPr>
      </w:pPr>
      <w:r w:rsidRPr="003918AE">
        <w:rPr>
          <w:rFonts w:ascii="Tahoma" w:hAnsi="Tahoma" w:cs="Tahoma"/>
          <w:color w:val="auto"/>
          <w:sz w:val="20"/>
          <w:szCs w:val="20"/>
        </w:rPr>
        <w:t>L</w:t>
      </w:r>
      <w:r w:rsidR="00D53720" w:rsidRPr="003918AE">
        <w:rPr>
          <w:rFonts w:ascii="Tahoma" w:hAnsi="Tahoma" w:cs="Tahoma"/>
          <w:color w:val="auto"/>
          <w:sz w:val="20"/>
          <w:szCs w:val="20"/>
        </w:rPr>
        <w:t>icence fee</w:t>
      </w:r>
      <w:r w:rsidR="00114F97" w:rsidRPr="003918AE">
        <w:rPr>
          <w:rFonts w:ascii="Tahoma" w:hAnsi="Tahoma" w:cs="Tahoma"/>
          <w:color w:val="auto"/>
          <w:sz w:val="20"/>
          <w:szCs w:val="20"/>
        </w:rPr>
        <w:t xml:space="preserve"> - </w:t>
      </w:r>
      <w:r w:rsidR="00076AA1" w:rsidRPr="003918AE">
        <w:rPr>
          <w:rFonts w:ascii="Tahoma" w:hAnsi="Tahoma" w:cs="Tahoma"/>
          <w:color w:val="auto"/>
          <w:sz w:val="20"/>
          <w:szCs w:val="20"/>
        </w:rPr>
        <w:t>Details regarding fees payable are available on the SEC Website. The cheque</w:t>
      </w:r>
      <w:r w:rsidR="007218D7" w:rsidRPr="003918AE">
        <w:rPr>
          <w:rFonts w:ascii="Tahoma" w:hAnsi="Tahoma" w:cs="Tahoma"/>
          <w:color w:val="auto"/>
          <w:sz w:val="20"/>
          <w:szCs w:val="20"/>
        </w:rPr>
        <w:t xml:space="preserve">/ </w:t>
      </w:r>
      <w:bookmarkStart w:id="0" w:name="_GoBack"/>
      <w:bookmarkEnd w:id="0"/>
      <w:r w:rsidR="007218D7" w:rsidRPr="003918AE">
        <w:rPr>
          <w:rFonts w:ascii="Tahoma" w:hAnsi="Tahoma" w:cs="Tahoma"/>
          <w:color w:val="auto"/>
          <w:sz w:val="20"/>
          <w:szCs w:val="20"/>
        </w:rPr>
        <w:t>fund transfer</w:t>
      </w:r>
      <w:r w:rsidR="00076AA1" w:rsidRPr="003918AE">
        <w:rPr>
          <w:rFonts w:ascii="Tahoma" w:hAnsi="Tahoma" w:cs="Tahoma"/>
          <w:color w:val="auto"/>
          <w:sz w:val="20"/>
          <w:szCs w:val="20"/>
        </w:rPr>
        <w:t xml:space="preserve"> in relation to the applicable fee should be drawn</w:t>
      </w:r>
      <w:r w:rsidR="007218D7" w:rsidRPr="003918AE">
        <w:rPr>
          <w:rFonts w:ascii="Tahoma" w:hAnsi="Tahoma" w:cs="Tahoma"/>
          <w:color w:val="auto"/>
          <w:sz w:val="20"/>
          <w:szCs w:val="20"/>
        </w:rPr>
        <w:t>/ made</w:t>
      </w:r>
      <w:r w:rsidR="00076AA1" w:rsidRPr="003918AE">
        <w:rPr>
          <w:rFonts w:ascii="Tahoma" w:hAnsi="Tahoma" w:cs="Tahoma"/>
          <w:color w:val="auto"/>
          <w:sz w:val="20"/>
          <w:szCs w:val="20"/>
        </w:rPr>
        <w:t xml:space="preserve"> in favour of the SEC and must accompany the aforesaid documents. </w:t>
      </w:r>
    </w:p>
    <w:p w14:paraId="5184E2B0" w14:textId="77777777" w:rsidR="002A1ECF" w:rsidRPr="003918AE" w:rsidRDefault="002A1ECF" w:rsidP="003918AE">
      <w:pPr>
        <w:pStyle w:val="ListParagraph"/>
        <w:spacing w:after="0" w:line="288" w:lineRule="auto"/>
        <w:rPr>
          <w:rFonts w:ascii="Tahoma" w:hAnsi="Tahoma" w:cs="Tahoma"/>
          <w:sz w:val="20"/>
          <w:szCs w:val="20"/>
        </w:rPr>
      </w:pPr>
    </w:p>
    <w:p w14:paraId="0A60CDB7" w14:textId="5B777119" w:rsidR="00D53720" w:rsidRPr="003918AE" w:rsidRDefault="008D0B92" w:rsidP="003918AE">
      <w:pPr>
        <w:pStyle w:val="Default"/>
        <w:numPr>
          <w:ilvl w:val="0"/>
          <w:numId w:val="4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3918AE">
        <w:rPr>
          <w:rFonts w:ascii="Tahoma" w:hAnsi="Tahoma" w:cs="Tahoma"/>
          <w:sz w:val="20"/>
          <w:szCs w:val="20"/>
        </w:rPr>
        <w:t>Along with the aforesaid documents, t</w:t>
      </w:r>
      <w:r w:rsidR="002A1ECF" w:rsidRPr="003918AE">
        <w:rPr>
          <w:rFonts w:ascii="Tahoma" w:hAnsi="Tahoma" w:cs="Tahoma"/>
          <w:sz w:val="20"/>
          <w:szCs w:val="20"/>
        </w:rPr>
        <w:t xml:space="preserve">he Applicant is required to inform the </w:t>
      </w:r>
      <w:r w:rsidR="00ED6196" w:rsidRPr="003918AE">
        <w:rPr>
          <w:rFonts w:ascii="Tahoma" w:hAnsi="Tahoma" w:cs="Tahoma"/>
          <w:sz w:val="20"/>
          <w:szCs w:val="20"/>
        </w:rPr>
        <w:t>SEC</w:t>
      </w:r>
      <w:r w:rsidR="002A1ECF" w:rsidRPr="003918AE">
        <w:rPr>
          <w:rFonts w:ascii="Tahoma" w:hAnsi="Tahoma" w:cs="Tahoma"/>
          <w:sz w:val="20"/>
          <w:szCs w:val="20"/>
        </w:rPr>
        <w:t xml:space="preserve"> of any change in particulars specified in the </w:t>
      </w:r>
      <w:r w:rsidR="00BE3EFD" w:rsidRPr="003918AE">
        <w:rPr>
          <w:rFonts w:ascii="Tahoma" w:hAnsi="Tahoma" w:cs="Tahoma"/>
          <w:sz w:val="20"/>
          <w:szCs w:val="20"/>
        </w:rPr>
        <w:t xml:space="preserve">initial </w:t>
      </w:r>
      <w:r w:rsidR="002A1ECF" w:rsidRPr="003918AE">
        <w:rPr>
          <w:rFonts w:ascii="Tahoma" w:hAnsi="Tahoma" w:cs="Tahoma"/>
          <w:sz w:val="20"/>
          <w:szCs w:val="20"/>
        </w:rPr>
        <w:t>application</w:t>
      </w:r>
      <w:r w:rsidR="00F648E5" w:rsidRPr="003918AE">
        <w:rPr>
          <w:rFonts w:ascii="Tahoma" w:hAnsi="Tahoma" w:cs="Tahoma"/>
          <w:sz w:val="20"/>
          <w:szCs w:val="20"/>
        </w:rPr>
        <w:t xml:space="preserve"> submitted </w:t>
      </w:r>
      <w:r w:rsidR="000D384C" w:rsidRPr="003918AE">
        <w:rPr>
          <w:rFonts w:ascii="Tahoma" w:hAnsi="Tahoma" w:cs="Tahoma"/>
          <w:sz w:val="20"/>
          <w:szCs w:val="20"/>
        </w:rPr>
        <w:t>by the Applicant to t</w:t>
      </w:r>
      <w:r w:rsidR="00F648E5" w:rsidRPr="003918AE">
        <w:rPr>
          <w:rFonts w:ascii="Tahoma" w:hAnsi="Tahoma" w:cs="Tahoma"/>
          <w:sz w:val="20"/>
          <w:szCs w:val="20"/>
        </w:rPr>
        <w:t>he SEC</w:t>
      </w:r>
      <w:r w:rsidR="002A1ECF" w:rsidRPr="003918AE">
        <w:rPr>
          <w:rFonts w:ascii="Tahoma" w:hAnsi="Tahoma" w:cs="Tahoma"/>
          <w:sz w:val="20"/>
          <w:szCs w:val="20"/>
        </w:rPr>
        <w:t>.</w:t>
      </w:r>
    </w:p>
    <w:sectPr w:rsidR="00D53720" w:rsidRPr="00391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C5300" w14:textId="77777777" w:rsidR="004F60AE" w:rsidRDefault="004F60AE" w:rsidP="004F60AE">
      <w:pPr>
        <w:spacing w:after="0" w:line="240" w:lineRule="auto"/>
      </w:pPr>
      <w:r>
        <w:separator/>
      </w:r>
    </w:p>
  </w:endnote>
  <w:endnote w:type="continuationSeparator" w:id="0">
    <w:p w14:paraId="04C38802" w14:textId="77777777" w:rsidR="004F60AE" w:rsidRDefault="004F60AE" w:rsidP="004F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A2C37" w14:textId="77777777" w:rsidR="004F60AE" w:rsidRDefault="004F60AE" w:rsidP="004F60AE">
      <w:pPr>
        <w:spacing w:after="0" w:line="240" w:lineRule="auto"/>
      </w:pPr>
      <w:r>
        <w:separator/>
      </w:r>
    </w:p>
  </w:footnote>
  <w:footnote w:type="continuationSeparator" w:id="0">
    <w:p w14:paraId="370A643C" w14:textId="77777777" w:rsidR="004F60AE" w:rsidRDefault="004F60AE" w:rsidP="004F6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11B7"/>
    <w:multiLevelType w:val="hybridMultilevel"/>
    <w:tmpl w:val="7FFAFDAC"/>
    <w:lvl w:ilvl="0" w:tplc="702CA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7702"/>
    <w:multiLevelType w:val="hybridMultilevel"/>
    <w:tmpl w:val="9ED4B1C4"/>
    <w:lvl w:ilvl="0" w:tplc="6160366A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3823796"/>
    <w:multiLevelType w:val="hybridMultilevel"/>
    <w:tmpl w:val="074A0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43381"/>
    <w:multiLevelType w:val="hybridMultilevel"/>
    <w:tmpl w:val="425E80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B434C7"/>
    <w:multiLevelType w:val="hybridMultilevel"/>
    <w:tmpl w:val="FAC4E400"/>
    <w:lvl w:ilvl="0" w:tplc="77F8D78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20"/>
    <w:rsid w:val="00076AA1"/>
    <w:rsid w:val="000B706F"/>
    <w:rsid w:val="000D384C"/>
    <w:rsid w:val="00114F97"/>
    <w:rsid w:val="00142E4D"/>
    <w:rsid w:val="00154345"/>
    <w:rsid w:val="001767E4"/>
    <w:rsid w:val="001A6193"/>
    <w:rsid w:val="001B7FF1"/>
    <w:rsid w:val="0023028D"/>
    <w:rsid w:val="00257061"/>
    <w:rsid w:val="002872FA"/>
    <w:rsid w:val="002A1CFD"/>
    <w:rsid w:val="002A1ECF"/>
    <w:rsid w:val="002D13C2"/>
    <w:rsid w:val="00385182"/>
    <w:rsid w:val="003918AE"/>
    <w:rsid w:val="00397A74"/>
    <w:rsid w:val="003D2182"/>
    <w:rsid w:val="00423CF7"/>
    <w:rsid w:val="004F60AE"/>
    <w:rsid w:val="0051437A"/>
    <w:rsid w:val="0058403F"/>
    <w:rsid w:val="005B39DA"/>
    <w:rsid w:val="005E65B5"/>
    <w:rsid w:val="00600266"/>
    <w:rsid w:val="00611A79"/>
    <w:rsid w:val="006341D6"/>
    <w:rsid w:val="006500B5"/>
    <w:rsid w:val="00665861"/>
    <w:rsid w:val="006B456C"/>
    <w:rsid w:val="006D62A3"/>
    <w:rsid w:val="006E5D30"/>
    <w:rsid w:val="006F4E1D"/>
    <w:rsid w:val="007218D7"/>
    <w:rsid w:val="00767E99"/>
    <w:rsid w:val="007A4988"/>
    <w:rsid w:val="007D416E"/>
    <w:rsid w:val="00814A6E"/>
    <w:rsid w:val="0082300E"/>
    <w:rsid w:val="008434F6"/>
    <w:rsid w:val="008D0B92"/>
    <w:rsid w:val="008D2119"/>
    <w:rsid w:val="008F38E0"/>
    <w:rsid w:val="008F508A"/>
    <w:rsid w:val="00915F3C"/>
    <w:rsid w:val="0092347C"/>
    <w:rsid w:val="009471A3"/>
    <w:rsid w:val="009571C9"/>
    <w:rsid w:val="009818D9"/>
    <w:rsid w:val="00982FDC"/>
    <w:rsid w:val="00992B50"/>
    <w:rsid w:val="009B68FD"/>
    <w:rsid w:val="00A16ADB"/>
    <w:rsid w:val="00A309AD"/>
    <w:rsid w:val="00A51391"/>
    <w:rsid w:val="00A54F55"/>
    <w:rsid w:val="00A76BDD"/>
    <w:rsid w:val="00AB490C"/>
    <w:rsid w:val="00AF373D"/>
    <w:rsid w:val="00B00B03"/>
    <w:rsid w:val="00B03330"/>
    <w:rsid w:val="00B04AEB"/>
    <w:rsid w:val="00B2107F"/>
    <w:rsid w:val="00B377AB"/>
    <w:rsid w:val="00BE3EFD"/>
    <w:rsid w:val="00BF0D0A"/>
    <w:rsid w:val="00D23D7A"/>
    <w:rsid w:val="00D53720"/>
    <w:rsid w:val="00DA2A50"/>
    <w:rsid w:val="00DD2EEB"/>
    <w:rsid w:val="00E203A0"/>
    <w:rsid w:val="00E4643A"/>
    <w:rsid w:val="00EC4E5C"/>
    <w:rsid w:val="00ED6196"/>
    <w:rsid w:val="00EE74B1"/>
    <w:rsid w:val="00F160E1"/>
    <w:rsid w:val="00F648E5"/>
    <w:rsid w:val="00F90B9E"/>
    <w:rsid w:val="00F9428D"/>
    <w:rsid w:val="00FC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4236"/>
  <w15:chartTrackingRefBased/>
  <w15:docId w15:val="{3C6A2BA9-69B0-488A-9752-F8F4DB2D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2107F"/>
    <w:pPr>
      <w:widowControl w:val="0"/>
      <w:autoSpaceDE w:val="0"/>
      <w:autoSpaceDN w:val="0"/>
      <w:spacing w:before="99" w:after="0" w:line="240" w:lineRule="auto"/>
      <w:ind w:left="890"/>
      <w:outlineLvl w:val="0"/>
    </w:pPr>
    <w:rPr>
      <w:rFonts w:ascii="Tahoma" w:eastAsia="Tahoma" w:hAnsi="Tahoma" w:cs="Tahom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72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53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5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8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2107F"/>
    <w:rPr>
      <w:rFonts w:ascii="Tahoma" w:eastAsia="Tahoma" w:hAnsi="Tahoma" w:cs="Tahoma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4F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AE"/>
  </w:style>
  <w:style w:type="paragraph" w:styleId="Footer">
    <w:name w:val="footer"/>
    <w:basedOn w:val="Normal"/>
    <w:link w:val="FooterChar"/>
    <w:uiPriority w:val="99"/>
    <w:unhideWhenUsed/>
    <w:rsid w:val="004F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899026358104EB062816D459C91FD" ma:contentTypeVersion="14" ma:contentTypeDescription="Create a new document." ma:contentTypeScope="" ma:versionID="2429018c50403439b3ed298ed68f31a5">
  <xsd:schema xmlns:xsd="http://www.w3.org/2001/XMLSchema" xmlns:xs="http://www.w3.org/2001/XMLSchema" xmlns:p="http://schemas.microsoft.com/office/2006/metadata/properties" xmlns:ns2="9d6c9a15-ee06-4ced-988e-de14a5117e04" xmlns:ns3="59ec70e5-3b60-4b03-9768-e61ed710f836" targetNamespace="http://schemas.microsoft.com/office/2006/metadata/properties" ma:root="true" ma:fieldsID="1efddc7137450184090bf1c2f81897f9" ns2:_="" ns3:_="">
    <xsd:import namespace="9d6c9a15-ee06-4ced-988e-de14a5117e04"/>
    <xsd:import namespace="59ec70e5-3b60-4b03-9768-e61ed710f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9a15-ee06-4ced-988e-de14a5117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66e6a4d-14e3-4398-a949-b773b696f8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c70e5-3b60-4b03-9768-e61ed710f8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bd62a4-e6c4-420f-88a3-98144eea4e57}" ma:internalName="TaxCatchAll" ma:showField="CatchAllData" ma:web="59ec70e5-3b60-4b03-9768-e61ed710f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ec70e5-3b60-4b03-9768-e61ed710f836" xsi:nil="true"/>
    <lcf76f155ced4ddcb4097134ff3c332f xmlns="9d6c9a15-ee06-4ced-988e-de14a5117e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12AE3A-6EB1-4C63-AE39-24805543A6C6}"/>
</file>

<file path=customXml/itemProps2.xml><?xml version="1.0" encoding="utf-8"?>
<ds:datastoreItem xmlns:ds="http://schemas.openxmlformats.org/officeDocument/2006/customXml" ds:itemID="{6D55AF87-1D7D-43C2-A6D8-9FF2ECD868D9}"/>
</file>

<file path=customXml/itemProps3.xml><?xml version="1.0" encoding="utf-8"?>
<ds:datastoreItem xmlns:ds="http://schemas.openxmlformats.org/officeDocument/2006/customXml" ds:itemID="{877BBA0E-5F46-4454-82A9-55C73F955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Chamila Karunarathne</dc:creator>
  <cp:keywords/>
  <dc:description/>
  <cp:lastModifiedBy>Manjula</cp:lastModifiedBy>
  <cp:revision>57</cp:revision>
  <cp:lastPrinted>2022-03-21T03:43:00Z</cp:lastPrinted>
  <dcterms:created xsi:type="dcterms:W3CDTF">2022-03-10T08:54:00Z</dcterms:created>
  <dcterms:modified xsi:type="dcterms:W3CDTF">2022-03-31T09:15:00Z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0x010100E00899026358104EB062816D459C91FD</vt:lpwstr>
  </property>
  <property fmtid="{D5CDD505-2E9C-101B-9397-08002B2CF9AE}" pid="3" name="Order">
    <vt:r8>7145600</vt:r8>
  </property>
</Properties>
</file>